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119" w:rsidP="00D23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HLTKIN005 Monitor and evaluate client progress</w:t>
      </w:r>
      <w:r>
        <w:fldChar w:fldCharType="end"/>
      </w:r>
    </w:p>
    <w:p w:rsidR="00D23119" w:rsidP="00D23119">
      <w:pPr>
        <w:pStyle w:val="Version"/>
        <w:sectPr w:rsidSect="00A80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B8B" w:rsidP="00A80B8B">
      <w:pPr>
        <w:pStyle w:val="SuperHeading"/>
      </w:pPr>
      <w:r w:rsidRPr="00A80B8B">
        <w:t>Assessment Requirements for HLTKIN005 Monitor and evaluate client progress</w:t>
      </w:r>
    </w:p>
    <w:p w:rsidR="00000000" w:rsidRPr="00A80B8B" w:rsidP="00A80B8B">
      <w:pPr>
        <w:pStyle w:val="Heading1"/>
      </w:pPr>
      <w:bookmarkStart w:id="1" w:name="O_656748"/>
      <w:bookmarkEnd w:id="1"/>
      <w:r w:rsidRPr="00A80B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80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B8B" w:rsidP="00A80B8B">
            <w:pPr>
              <w:pStyle w:val="BodyText"/>
            </w:pPr>
            <w:r w:rsidRPr="00A80B8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B8B">
            <w:pPr>
              <w:pStyle w:val="BodyText"/>
              <w:rPr>
                <w:lang w:val="en-NZ"/>
              </w:rPr>
            </w:pPr>
            <w:r w:rsidRPr="00A80B8B">
              <w:rPr>
                <w:rStyle w:val="SpecialBold"/>
              </w:rPr>
              <w:t>Comments</w:t>
            </w:r>
          </w:p>
        </w:tc>
      </w:tr>
      <w:tr w:rsidTr="00A80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B8B">
            <w:pPr>
              <w:pStyle w:val="BodyText"/>
              <w:rPr>
                <w:lang w:val="en-NZ"/>
              </w:rPr>
            </w:pPr>
            <w:r w:rsidRPr="00A80B8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B8B" w:rsidP="00A80B8B">
            <w:pPr>
              <w:pStyle w:val="BodyText"/>
            </w:pPr>
            <w:r w:rsidRPr="00A80B8B">
              <w:t xml:space="preserve">This version was released in </w:t>
            </w:r>
            <w:r w:rsidRPr="00A80B8B">
              <w:rPr>
                <w:rStyle w:val="Emphasis"/>
              </w:rPr>
              <w:t>CHC Community Services Training Package release 2.0</w:t>
            </w:r>
            <w:r w:rsidRPr="00A80B8B">
              <w:t xml:space="preserve"> and meets the require</w:t>
            </w:r>
            <w:r w:rsidRPr="00A80B8B">
              <w:t>ments of the 2012 Standards for Training Packages.</w:t>
            </w:r>
          </w:p>
          <w:p w:rsidR="00000000" w:rsidRPr="00A80B8B" w:rsidP="00A80B8B">
            <w:pPr>
              <w:pStyle w:val="BodyText"/>
            </w:pPr>
          </w:p>
          <w:p w:rsidR="00000000" w:rsidRPr="00A80B8B" w:rsidP="00A80B8B">
            <w:pPr>
              <w:pStyle w:val="BodyText"/>
            </w:pPr>
            <w:r w:rsidRPr="00A80B8B">
              <w:t>Significant changes to the elements and performance criteria. New evidence requirements for assessment, including volume and frequency requirements. Significant change to knowledge evidence. Minimum clini</w:t>
            </w:r>
            <w:r w:rsidRPr="00A80B8B">
              <w:t>c hours added. Additional assessor requirements.</w:t>
            </w:r>
          </w:p>
        </w:tc>
      </w:tr>
    </w:tbl>
    <w:p w:rsidR="00000000" w:rsidRPr="00A80B8B" w:rsidP="00A80B8B">
      <w:pPr>
        <w:pStyle w:val="BodyText"/>
      </w:pPr>
    </w:p>
    <w:p w:rsidR="00000000" w:rsidRPr="00A80B8B" w:rsidP="00A80B8B">
      <w:pPr>
        <w:pStyle w:val="AllowPageBreak"/>
      </w:pPr>
    </w:p>
    <w:p w:rsidR="00000000" w:rsidRPr="00A80B8B" w:rsidP="00A80B8B">
      <w:pPr>
        <w:pStyle w:val="Heading1"/>
      </w:pPr>
      <w:bookmarkStart w:id="2" w:name="O_656749"/>
      <w:bookmarkEnd w:id="2"/>
      <w:r w:rsidRPr="00A80B8B">
        <w:t>Performance Evidence</w:t>
      </w:r>
    </w:p>
    <w:p w:rsidR="00000000" w:rsidRPr="00A80B8B" w:rsidP="00D23119">
      <w:pPr>
        <w:pStyle w:val="BodyText"/>
      </w:pPr>
      <w:r w:rsidRPr="00A80B8B">
        <w:t xml:space="preserve">The candidate must show evidence of the ability to complete tasks outlined in elements and performance criteria of this unit, manage tasks and manage contingencies in </w:t>
      </w:r>
      <w:r w:rsidRPr="00A80B8B">
        <w:t>the context of the job role. There must be evidence that the candidate has:</w:t>
      </w:r>
    </w:p>
    <w:p w:rsidR="00000000" w:rsidRPr="00A80B8B" w:rsidP="00A80B8B">
      <w:pPr>
        <w:pStyle w:val="ListBullet"/>
      </w:pPr>
      <w:r w:rsidRPr="00A80B8B">
        <w:t>performed the activities outlined in the performance criteria of this unit during a period of at least 200 hours of kinesiology client consultation work</w:t>
      </w:r>
    </w:p>
    <w:p w:rsidR="00000000" w:rsidRPr="00A80B8B" w:rsidP="00A80B8B">
      <w:pPr>
        <w:pStyle w:val="ListBullet"/>
      </w:pPr>
      <w:r w:rsidRPr="00A80B8B">
        <w:t>prepared for and managed k</w:t>
      </w:r>
      <w:r w:rsidRPr="00A80B8B">
        <w:t>inesiology sessions for at least 40 different people, 10 of whom must be seen at least 3 times. Clients must include males and females from different stages of life with varied presentations</w:t>
      </w:r>
    </w:p>
    <w:p w:rsidR="00000000" w:rsidRPr="00A80B8B" w:rsidP="00A80B8B">
      <w:pPr>
        <w:pStyle w:val="ListBullet"/>
      </w:pPr>
      <w:r w:rsidRPr="00A80B8B">
        <w:t>measured outcomes through client feedback and own assessment using baseline measurements and indicators of change</w:t>
      </w:r>
    </w:p>
    <w:p w:rsidR="00000000" w:rsidRPr="00A80B8B" w:rsidP="00A80B8B">
      <w:pPr>
        <w:pStyle w:val="AllowPageBreak"/>
      </w:pPr>
    </w:p>
    <w:p w:rsidR="00000000" w:rsidRPr="00A80B8B" w:rsidP="00A80B8B">
      <w:pPr>
        <w:pStyle w:val="Heading1"/>
      </w:pPr>
      <w:bookmarkStart w:id="3" w:name="O_656750"/>
      <w:bookmarkEnd w:id="3"/>
      <w:r w:rsidRPr="00A80B8B">
        <w:t>Knowledge Evidence</w:t>
      </w:r>
    </w:p>
    <w:p w:rsidR="00000000" w:rsidRPr="00A80B8B" w:rsidP="00D23119">
      <w:pPr>
        <w:pStyle w:val="BodyText"/>
      </w:pPr>
      <w:r w:rsidRPr="00A80B8B">
        <w:t>The candidate must be able to demonstrate essential knowledge required to effectively complete tasks outli</w:t>
      </w:r>
      <w:r w:rsidRPr="00A80B8B">
        <w:t>ned in elements and performance criteria of this unit, manage tasks and manage contingencies in the context of the work role. This includes knowledge of:</w:t>
      </w:r>
    </w:p>
    <w:p w:rsidR="00000000" w:rsidRPr="00A80B8B" w:rsidP="00A80B8B">
      <w:pPr>
        <w:pStyle w:val="ListBullet"/>
      </w:pPr>
      <w:r w:rsidRPr="00A80B8B">
        <w:t>legal and ethical considerations (national and state/territory) for client monitoring:</w:t>
      </w:r>
    </w:p>
    <w:p w:rsidR="00000000" w:rsidRPr="00A80B8B" w:rsidP="00A80B8B">
      <w:pPr>
        <w:pStyle w:val="ListBullet2"/>
      </w:pPr>
      <w:r w:rsidRPr="00A80B8B">
        <w:t>codes of cond</w:t>
      </w:r>
      <w:r w:rsidRPr="00A80B8B">
        <w:t>uct</w:t>
      </w:r>
    </w:p>
    <w:p w:rsidR="00000000" w:rsidRPr="00A80B8B" w:rsidP="00A80B8B">
      <w:pPr>
        <w:pStyle w:val="ListBullet2"/>
      </w:pPr>
      <w:r w:rsidRPr="00A80B8B">
        <w:t>duty of care</w:t>
      </w:r>
    </w:p>
    <w:p w:rsidR="00000000" w:rsidRPr="00A80B8B" w:rsidP="00A80B8B">
      <w:pPr>
        <w:pStyle w:val="ListBullet2"/>
      </w:pPr>
      <w:r w:rsidRPr="00A80B8B">
        <w:t>informed consent</w:t>
      </w:r>
    </w:p>
    <w:p w:rsidR="00000000" w:rsidRPr="00A80B8B" w:rsidP="00A80B8B">
      <w:pPr>
        <w:pStyle w:val="ListBullet2"/>
      </w:pPr>
      <w:r w:rsidRPr="00A80B8B">
        <w:t>mandatory reporting</w:t>
      </w:r>
    </w:p>
    <w:p w:rsidR="00000000" w:rsidRPr="00A80B8B" w:rsidP="00A80B8B">
      <w:pPr>
        <w:pStyle w:val="ListBullet2"/>
      </w:pPr>
      <w:r w:rsidRPr="00A80B8B">
        <w:t xml:space="preserve">practitioner/client boundaries </w:t>
      </w:r>
    </w:p>
    <w:p w:rsidR="00000000" w:rsidRPr="00A80B8B" w:rsidP="00A80B8B">
      <w:pPr>
        <w:pStyle w:val="ListBullet2"/>
      </w:pPr>
      <w:r w:rsidRPr="00A80B8B">
        <w:t>privacy, confidentiality and disclosure</w:t>
      </w:r>
    </w:p>
    <w:p w:rsidR="00000000" w:rsidRPr="00A80B8B" w:rsidP="00A80B8B">
      <w:pPr>
        <w:pStyle w:val="ListBullet2"/>
      </w:pPr>
      <w:r w:rsidRPr="00A80B8B">
        <w:t>records management</w:t>
      </w:r>
    </w:p>
    <w:p w:rsidR="00000000" w:rsidRPr="00A80B8B" w:rsidP="00A80B8B">
      <w:pPr>
        <w:pStyle w:val="ListBullet2"/>
      </w:pPr>
      <w:r w:rsidRPr="00A80B8B">
        <w:t>work role boundaries</w:t>
      </w:r>
    </w:p>
    <w:p w:rsidR="00000000" w:rsidRPr="00A80B8B" w:rsidP="00A80B8B">
      <w:pPr>
        <w:pStyle w:val="ListBullet3"/>
      </w:pPr>
      <w:r w:rsidRPr="00A80B8B">
        <w:t>working within scope of practice</w:t>
      </w:r>
    </w:p>
    <w:p w:rsidR="00000000" w:rsidRPr="00A80B8B" w:rsidP="00A80B8B">
      <w:pPr>
        <w:pStyle w:val="ListBullet3"/>
      </w:pPr>
      <w:r w:rsidRPr="00A80B8B">
        <w:t>presenting symptoms that require referral to a medical practitioner</w:t>
      </w:r>
    </w:p>
    <w:p w:rsidR="00000000" w:rsidRPr="00A80B8B" w:rsidP="00A80B8B">
      <w:pPr>
        <w:pStyle w:val="ListBullet2"/>
      </w:pPr>
      <w:r w:rsidRPr="00A80B8B">
        <w:t>work health and safety</w:t>
      </w:r>
    </w:p>
    <w:p w:rsidR="00000000" w:rsidRPr="00A80B8B" w:rsidP="00A80B8B">
      <w:pPr>
        <w:pStyle w:val="ListBullet"/>
      </w:pPr>
      <w:r w:rsidRPr="00A80B8B">
        <w:t>expectations of treatments for different conditions and client groups, and factors that impact on those expectations:</w:t>
      </w:r>
    </w:p>
    <w:p w:rsidR="00000000" w:rsidRPr="00A80B8B" w:rsidP="00A80B8B">
      <w:pPr>
        <w:pStyle w:val="ListBullet2"/>
      </w:pPr>
      <w:r w:rsidRPr="00A80B8B">
        <w:t>client history</w:t>
      </w:r>
    </w:p>
    <w:p w:rsidR="00000000" w:rsidRPr="00A80B8B" w:rsidP="00A80B8B">
      <w:pPr>
        <w:pStyle w:val="ListBullet2"/>
      </w:pPr>
      <w:r w:rsidRPr="00A80B8B">
        <w:t>contraindications</w:t>
      </w:r>
    </w:p>
    <w:p w:rsidR="00000000" w:rsidRPr="00A80B8B" w:rsidP="00A80B8B">
      <w:pPr>
        <w:pStyle w:val="ListBullet2"/>
      </w:pPr>
      <w:r w:rsidRPr="00A80B8B">
        <w:t>compliance</w:t>
      </w:r>
    </w:p>
    <w:p w:rsidR="00000000" w:rsidRPr="00A80B8B" w:rsidP="00A80B8B">
      <w:pPr>
        <w:pStyle w:val="ListBullet2"/>
      </w:pPr>
      <w:r w:rsidRPr="00A80B8B">
        <w:t>interactions with other treatments</w:t>
      </w:r>
    </w:p>
    <w:p w:rsidR="00000000" w:rsidRPr="00A80B8B" w:rsidP="00A80B8B">
      <w:pPr>
        <w:pStyle w:val="ListBullet2"/>
      </w:pPr>
      <w:r w:rsidRPr="00A80B8B">
        <w:t>yellow and red flags</w:t>
      </w:r>
    </w:p>
    <w:p w:rsidR="00000000" w:rsidRPr="00A80B8B" w:rsidP="00A80B8B">
      <w:pPr>
        <w:pStyle w:val="ListBullet2"/>
      </w:pPr>
      <w:r w:rsidRPr="00A80B8B">
        <w:t>client general health</w:t>
      </w:r>
    </w:p>
    <w:p w:rsidR="00000000" w:rsidRPr="00A80B8B" w:rsidP="00A80B8B">
      <w:pPr>
        <w:pStyle w:val="ListBullet2"/>
      </w:pPr>
      <w:r w:rsidRPr="00A80B8B">
        <w:t>presenting condition</w:t>
      </w:r>
    </w:p>
    <w:p w:rsidR="00000000" w:rsidRPr="00A80B8B" w:rsidP="00A80B8B">
      <w:pPr>
        <w:pStyle w:val="ListBullet2"/>
      </w:pPr>
      <w:r w:rsidRPr="00A80B8B">
        <w:t xml:space="preserve">impact of reinforcement for the client </w:t>
      </w:r>
    </w:p>
    <w:p w:rsidR="00000000" w:rsidRPr="00A80B8B" w:rsidP="00A80B8B">
      <w:pPr>
        <w:pStyle w:val="ListBullet"/>
      </w:pPr>
      <w:r w:rsidRPr="00A80B8B">
        <w:t xml:space="preserve">base line for comparison measurements according to modality procedure, including for: </w:t>
      </w:r>
    </w:p>
    <w:p w:rsidR="00000000" w:rsidRPr="00A80B8B" w:rsidP="00A80B8B">
      <w:pPr>
        <w:pStyle w:val="ListBullet2"/>
      </w:pPr>
      <w:r w:rsidRPr="00A80B8B">
        <w:t>pain</w:t>
      </w:r>
    </w:p>
    <w:p w:rsidR="00000000" w:rsidRPr="00A80B8B" w:rsidP="00A80B8B">
      <w:pPr>
        <w:pStyle w:val="ListBullet2"/>
      </w:pPr>
      <w:r w:rsidRPr="00A80B8B">
        <w:t>energy levels</w:t>
      </w:r>
    </w:p>
    <w:p w:rsidR="00000000" w:rsidRPr="00A80B8B" w:rsidP="00A80B8B">
      <w:pPr>
        <w:pStyle w:val="ListBullet2"/>
      </w:pPr>
      <w:r w:rsidRPr="00A80B8B">
        <w:t>flexibility</w:t>
      </w:r>
    </w:p>
    <w:p w:rsidR="00000000" w:rsidRPr="00A80B8B" w:rsidP="00A80B8B">
      <w:pPr>
        <w:pStyle w:val="ListBullet2"/>
      </w:pPr>
      <w:r w:rsidRPr="00A80B8B">
        <w:t xml:space="preserve">postural stress </w:t>
      </w:r>
    </w:p>
    <w:p w:rsidR="00000000" w:rsidRPr="00A80B8B" w:rsidP="00A80B8B">
      <w:pPr>
        <w:pStyle w:val="ListBullet"/>
      </w:pPr>
      <w:r w:rsidRPr="00A80B8B">
        <w:t>sources of research and evidence that support kinesiology practice</w:t>
      </w:r>
    </w:p>
    <w:p w:rsidR="00000000" w:rsidRPr="00A80B8B" w:rsidP="00A80B8B">
      <w:pPr>
        <w:pStyle w:val="ListBullet"/>
      </w:pPr>
      <w:r w:rsidRPr="00A80B8B">
        <w:t>principles underpinning continuation or variation of treatment</w:t>
      </w:r>
    </w:p>
    <w:p w:rsidR="00000000" w:rsidRPr="00A80B8B" w:rsidP="00A80B8B">
      <w:pPr>
        <w:pStyle w:val="ListBullet"/>
      </w:pPr>
      <w:r w:rsidRPr="00A80B8B">
        <w:t>impact indicators including:</w:t>
      </w:r>
    </w:p>
    <w:p w:rsidR="00000000" w:rsidRPr="00A80B8B" w:rsidP="00A80B8B">
      <w:pPr>
        <w:pStyle w:val="ListBullet2"/>
      </w:pPr>
      <w:r w:rsidRPr="00A80B8B">
        <w:t>changes in awareness, knowledge and skills</w:t>
      </w:r>
    </w:p>
    <w:p w:rsidR="00000000" w:rsidRPr="00A80B8B" w:rsidP="00A80B8B">
      <w:pPr>
        <w:pStyle w:val="ListBullet2"/>
      </w:pPr>
      <w:r w:rsidRPr="00A80B8B">
        <w:t>changes in intended beh</w:t>
      </w:r>
      <w:r w:rsidRPr="00A80B8B">
        <w:t>aviour</w:t>
      </w:r>
    </w:p>
    <w:p w:rsidR="00000000" w:rsidRPr="00A80B8B" w:rsidP="00A80B8B">
      <w:pPr>
        <w:pStyle w:val="ListBullet2"/>
      </w:pPr>
      <w:r w:rsidRPr="00A80B8B">
        <w:t>changes in individual capacity, i.e. confidence, self esteem, social skills, problem solving skills, increased help-seeking behaviour, coping skills and self management</w:t>
      </w:r>
    </w:p>
    <w:p w:rsidR="00000000" w:rsidRPr="00A80B8B" w:rsidP="00A80B8B">
      <w:pPr>
        <w:pStyle w:val="ListBullet2"/>
      </w:pPr>
      <w:r w:rsidRPr="00A80B8B">
        <w:t>changes in relationships</w:t>
      </w:r>
    </w:p>
    <w:p w:rsidR="00000000" w:rsidRPr="00A80B8B" w:rsidP="00A80B8B">
      <w:pPr>
        <w:pStyle w:val="ListBullet"/>
      </w:pPr>
      <w:r w:rsidRPr="00A80B8B">
        <w:t xml:space="preserve">client satisfaction indicators: </w:t>
      </w:r>
    </w:p>
    <w:p w:rsidR="00000000" w:rsidRPr="00A80B8B" w:rsidP="00A80B8B">
      <w:pPr>
        <w:pStyle w:val="ListBullet2"/>
      </w:pPr>
      <w:r w:rsidRPr="00A80B8B">
        <w:t>whether clients feels heard, understood, educated about the issue </w:t>
      </w:r>
    </w:p>
    <w:p w:rsidR="00000000" w:rsidRPr="00A80B8B" w:rsidP="00A80B8B">
      <w:pPr>
        <w:pStyle w:val="ListBullet2"/>
      </w:pPr>
      <w:r w:rsidRPr="00A80B8B">
        <w:t xml:space="preserve">achievement of goal/contextual issue </w:t>
      </w:r>
    </w:p>
    <w:p w:rsidR="00000000" w:rsidRPr="00A80B8B" w:rsidP="00A80B8B">
      <w:pPr>
        <w:pStyle w:val="ListBullet"/>
      </w:pPr>
      <w:r w:rsidRPr="00A80B8B">
        <w:t>outcome indicators of improved:</w:t>
      </w:r>
    </w:p>
    <w:p w:rsidR="00000000" w:rsidRPr="00A80B8B" w:rsidP="00A80B8B">
      <w:pPr>
        <w:pStyle w:val="ListBullet2"/>
      </w:pPr>
      <w:r w:rsidRPr="00A80B8B">
        <w:t>mental wellbeing</w:t>
      </w:r>
    </w:p>
    <w:p w:rsidR="00000000" w:rsidRPr="00A80B8B" w:rsidP="00A80B8B">
      <w:pPr>
        <w:pStyle w:val="ListBullet2"/>
      </w:pPr>
      <w:r w:rsidRPr="00A80B8B">
        <w:t>physical wellbeing</w:t>
      </w:r>
    </w:p>
    <w:p w:rsidR="00000000" w:rsidRPr="00A80B8B" w:rsidP="00A80B8B">
      <w:pPr>
        <w:pStyle w:val="ListBullet2"/>
      </w:pPr>
      <w:r w:rsidRPr="00A80B8B">
        <w:t>emotional wellbeing</w:t>
      </w:r>
    </w:p>
    <w:p w:rsidR="00000000" w:rsidRPr="00A80B8B" w:rsidP="00A80B8B">
      <w:pPr>
        <w:pStyle w:val="ListBullet2"/>
      </w:pPr>
      <w:r w:rsidRPr="00A80B8B">
        <w:t>energetic wellbeing</w:t>
      </w:r>
    </w:p>
    <w:p w:rsidR="00000000" w:rsidRPr="00A80B8B" w:rsidP="00A80B8B">
      <w:pPr>
        <w:pStyle w:val="AllowPageBreak"/>
      </w:pPr>
    </w:p>
    <w:p w:rsidR="00000000" w:rsidRPr="00A80B8B" w:rsidP="00A80B8B">
      <w:pPr>
        <w:pStyle w:val="Heading1"/>
      </w:pPr>
      <w:bookmarkStart w:id="4" w:name="O_656751"/>
      <w:bookmarkEnd w:id="4"/>
      <w:r w:rsidRPr="00A80B8B">
        <w:t>Assessment Conditions</w:t>
      </w:r>
    </w:p>
    <w:p w:rsidR="00000000" w:rsidRPr="00A80B8B" w:rsidP="00D23119">
      <w:pPr>
        <w:pStyle w:val="BodyText"/>
      </w:pPr>
      <w:r w:rsidRPr="00A80B8B">
        <w:t>Sk</w:t>
      </w:r>
      <w:r w:rsidRPr="00A80B8B">
        <w:t xml:space="preserve">ills must have been demonstrated in the workplace or in a clinical environment that reflects workplace conditions. The following conditions must be met for this unit: </w:t>
      </w:r>
    </w:p>
    <w:p w:rsidR="00000000" w:rsidRPr="00A80B8B" w:rsidP="00A80B8B">
      <w:pPr>
        <w:pStyle w:val="ListBullet"/>
      </w:pPr>
      <w:r w:rsidRPr="00A80B8B">
        <w:t xml:space="preserve">use of suitable facilities, equipment and resources, including: </w:t>
      </w:r>
    </w:p>
    <w:p w:rsidR="00000000" w:rsidRPr="00A80B8B" w:rsidP="00A80B8B">
      <w:pPr>
        <w:pStyle w:val="ListBullet2"/>
      </w:pPr>
      <w:r w:rsidRPr="00A80B8B">
        <w:t xml:space="preserve">client information – </w:t>
      </w:r>
      <w:r w:rsidRPr="00A80B8B">
        <w:t>case history, treatment plan</w:t>
      </w:r>
    </w:p>
    <w:p w:rsidR="00000000" w:rsidRPr="00A80B8B" w:rsidP="00A80B8B">
      <w:pPr>
        <w:pStyle w:val="ListBullet2"/>
      </w:pPr>
      <w:r w:rsidRPr="00A80B8B">
        <w:t>private consultation area</w:t>
      </w:r>
    </w:p>
    <w:p w:rsidR="00000000" w:rsidRPr="00A80B8B" w:rsidP="00A80B8B">
      <w:pPr>
        <w:pStyle w:val="ListBullet2"/>
      </w:pPr>
      <w:r w:rsidRPr="00A80B8B">
        <w:t>massage/table and chair</w:t>
      </w:r>
    </w:p>
    <w:p w:rsidR="00000000" w:rsidRPr="00A80B8B" w:rsidP="00A80B8B">
      <w:pPr>
        <w:pStyle w:val="ListBullet2"/>
      </w:pPr>
      <w:r w:rsidRPr="00A80B8B">
        <w:t>reference manual</w:t>
      </w:r>
    </w:p>
    <w:p w:rsidR="00000000" w:rsidRPr="00A80B8B" w:rsidP="00A80B8B">
      <w:pPr>
        <w:pStyle w:val="ListBullet2"/>
      </w:pPr>
      <w:r w:rsidRPr="00A80B8B">
        <w:t>hand sanitiser and/or hot running water for washing hands</w:t>
      </w:r>
    </w:p>
    <w:p w:rsidR="00000000" w:rsidRPr="00A80B8B" w:rsidP="00A80B8B">
      <w:pPr>
        <w:pStyle w:val="ListBullet"/>
      </w:pPr>
      <w:r w:rsidRPr="00A80B8B">
        <w:t xml:space="preserve">modelling of industry operating conditions, including provision of services to the general public </w:t>
      </w:r>
    </w:p>
    <w:p w:rsidR="00000000" w:rsidRPr="00A80B8B" w:rsidP="00A80B8B">
      <w:pPr>
        <w:pStyle w:val="ListBullet"/>
      </w:pPr>
      <w:r w:rsidRPr="00A80B8B">
        <w:t>clinic supervision by a person who meets the assessor requirements outlined below for at least 50 of the 200 hours of client consultations. The remaining 150 hours may be completed under the guidance of a mentor. The mentor must either meet the assessor re</w:t>
      </w:r>
      <w:r w:rsidRPr="00A80B8B">
        <w:t xml:space="preserve">quirements outlined below or be registered with an Australian professional body that represents kinesiologists as a mentor. </w:t>
      </w:r>
    </w:p>
    <w:p w:rsidR="00000000" w:rsidRPr="00A80B8B" w:rsidP="00A80B8B">
      <w:pPr>
        <w:pStyle w:val="BodyText"/>
      </w:pPr>
    </w:p>
    <w:p w:rsidR="00000000" w:rsidRPr="00A80B8B" w:rsidP="00D23119">
      <w:pPr>
        <w:pStyle w:val="BodyText"/>
      </w:pPr>
      <w:r w:rsidRPr="00A80B8B">
        <w:t xml:space="preserve">Assessors must satisfy the Standards for Registered Training Organisations (RTOs) 2015/AQTF mandatory competency requirements for </w:t>
      </w:r>
      <w:r w:rsidRPr="00A80B8B">
        <w:t>assessors.</w:t>
      </w:r>
    </w:p>
    <w:p w:rsidR="00000000" w:rsidRPr="00A80B8B" w:rsidP="00D23119">
      <w:pPr>
        <w:pStyle w:val="BodyText"/>
      </w:pPr>
      <w:r w:rsidRPr="00A80B8B">
        <w:t>In addition, assessors must:</w:t>
      </w:r>
    </w:p>
    <w:p w:rsidR="00000000" w:rsidRPr="00A80B8B" w:rsidP="00A80B8B">
      <w:pPr>
        <w:pStyle w:val="ListBullet"/>
      </w:pPr>
      <w:r w:rsidRPr="00A80B8B">
        <w:t xml:space="preserve">have at least 2 years current clinical experience working as a kinesiologist providing services to the general public </w:t>
      </w:r>
    </w:p>
    <w:p w:rsidR="00000000" w:rsidRPr="00A80B8B" w:rsidP="00A80B8B">
      <w:pPr>
        <w:pStyle w:val="ListBullet"/>
      </w:pPr>
      <w:r w:rsidRPr="00A80B8B">
        <w:t>hold practising membership of an Australian professional body that represents kinesiologists</w:t>
      </w:r>
    </w:p>
    <w:p w:rsidR="00000000" w:rsidRPr="00A80B8B" w:rsidP="00A80B8B">
      <w:pPr>
        <w:pStyle w:val="ListBullet"/>
      </w:pPr>
      <w:r w:rsidRPr="00A80B8B">
        <w:t>ful</w:t>
      </w:r>
      <w:r w:rsidRPr="00A80B8B">
        <w:t>fil the continuing professional development requirements of the professional body to which they belong</w:t>
      </w:r>
    </w:p>
    <w:p w:rsidR="00000000" w:rsidRPr="00A80B8B" w:rsidP="00A80B8B">
      <w:pPr>
        <w:pStyle w:val="AllowPageBreak"/>
      </w:pPr>
    </w:p>
    <w:p w:rsidR="00000000" w:rsidRPr="00A80B8B" w:rsidP="00A80B8B">
      <w:pPr>
        <w:pStyle w:val="Heading1"/>
      </w:pPr>
      <w:bookmarkStart w:id="5" w:name="O_656754"/>
      <w:bookmarkEnd w:id="5"/>
      <w:r w:rsidRPr="00A80B8B">
        <w:t>Links</w:t>
      </w:r>
    </w:p>
    <w:p w:rsidR="00000000" w:rsidRPr="00A80B8B" w:rsidP="00D23119">
      <w:pPr>
        <w:pStyle w:val="BodyText"/>
      </w:pPr>
      <w:r w:rsidRPr="00A80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4B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80B8B" w:rsidP="00A80B8B"/>
    <w:sectPr w:rsidSect="00A80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8B" w:rsidRPr="00D23119" w:rsidP="00D23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19" w:rsidP="00A80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119" w:rsidP="00A80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3119" w:rsidP="00A80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B8B" w:rsidRPr="00D23119" w:rsidP="00D23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19" w:rsidRPr="002D2AF8" w:rsidP="00A80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HLTKIN005 Monitor and evaluate client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23119" w:rsidP="00A80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F6E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03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A3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B8B"/>
  </w:style>
  <w:style w:type="character" w:customStyle="1" w:styleId="Heading1Char">
    <w:name w:val="Heading 1 Char"/>
    <w:basedOn w:val="DefaultParagraphFont"/>
    <w:link w:val="Heading1"/>
    <w:rsid w:val="00A80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B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B8B"/>
    <w:rPr>
      <w:b/>
      <w:spacing w:val="0"/>
    </w:rPr>
  </w:style>
  <w:style w:type="paragraph" w:styleId="ListBullet2">
    <w:name w:val="List Bullet 2"/>
    <w:basedOn w:val="List2"/>
    <w:rsid w:val="00A80B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0B8B"/>
    <w:rPr>
      <w:i/>
    </w:rPr>
  </w:style>
  <w:style w:type="paragraph" w:customStyle="1" w:styleId="SuperHeading">
    <w:name w:val="SuperHeading"/>
    <w:basedOn w:val="Normal"/>
    <w:rsid w:val="00A80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0B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0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B8B"/>
  </w:style>
  <w:style w:type="paragraph" w:styleId="TableofFigures">
    <w:name w:val="table of figures"/>
    <w:basedOn w:val="Normal"/>
    <w:next w:val="Normal"/>
    <w:semiHidden/>
    <w:rsid w:val="00A80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B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0B8B"/>
    <w:rPr>
      <w:rFonts w:ascii="Wingdings" w:hAnsi="Wingdings"/>
    </w:rPr>
  </w:style>
  <w:style w:type="paragraph" w:customStyle="1" w:styleId="TableHeading">
    <w:name w:val="Table Heading"/>
    <w:basedOn w:val="HeadingBase"/>
    <w:rsid w:val="00A80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B8B"/>
    <w:rPr>
      <w:color w:val="0033CC"/>
      <w:u w:val="none"/>
    </w:rPr>
  </w:style>
  <w:style w:type="paragraph" w:customStyle="1" w:styleId="BodyTextRight">
    <w:name w:val="Body Text Right"/>
    <w:basedOn w:val="BodyText"/>
    <w:rsid w:val="00A80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B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B8B"/>
    <w:rPr>
      <w:sz w:val="32"/>
    </w:rPr>
  </w:style>
  <w:style w:type="paragraph" w:customStyle="1" w:styleId="HeadingProcedure">
    <w:name w:val="Heading Procedure"/>
    <w:basedOn w:val="HeadingBase"/>
    <w:next w:val="Normal"/>
    <w:rsid w:val="00A80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B8B"/>
    <w:pPr>
      <w:spacing w:before="60" w:after="60"/>
    </w:pPr>
  </w:style>
  <w:style w:type="paragraph" w:styleId="ListContinue">
    <w:name w:val="List Continue"/>
    <w:basedOn w:val="List"/>
    <w:rsid w:val="00A80B8B"/>
    <w:pPr>
      <w:ind w:firstLine="0"/>
    </w:pPr>
  </w:style>
  <w:style w:type="paragraph" w:customStyle="1" w:styleId="ListNote">
    <w:name w:val="List Note"/>
    <w:basedOn w:val="List"/>
    <w:rsid w:val="00A80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B8B"/>
    <w:rPr>
      <w:rFonts w:ascii="Courier New" w:hAnsi="Courier New"/>
    </w:rPr>
  </w:style>
  <w:style w:type="paragraph" w:customStyle="1" w:styleId="NoteBullet">
    <w:name w:val="Note Bullet"/>
    <w:basedOn w:val="Note"/>
    <w:rsid w:val="00A80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B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0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B8B"/>
    <w:rPr>
      <w:b/>
      <w:smallCaps/>
    </w:rPr>
  </w:style>
  <w:style w:type="paragraph" w:customStyle="1" w:styleId="TableListNumber">
    <w:name w:val="Table List Number"/>
    <w:basedOn w:val="ListNumber"/>
    <w:rsid w:val="00A80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B8B"/>
    <w:pPr>
      <w:numPr>
        <w:numId w:val="10"/>
      </w:numPr>
    </w:pPr>
  </w:style>
  <w:style w:type="paragraph" w:customStyle="1" w:styleId="ListAlpha2">
    <w:name w:val="List Alpha 2"/>
    <w:basedOn w:val="List2"/>
    <w:rsid w:val="00A80B8B"/>
    <w:pPr>
      <w:numPr>
        <w:numId w:val="9"/>
      </w:numPr>
    </w:pPr>
  </w:style>
  <w:style w:type="paragraph" w:styleId="List2">
    <w:name w:val="List 2"/>
    <w:basedOn w:val="BodyText"/>
    <w:rsid w:val="00A80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B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0B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0B8B"/>
    <w:pPr>
      <w:numPr>
        <w:numId w:val="5"/>
      </w:numPr>
    </w:pPr>
  </w:style>
  <w:style w:type="paragraph" w:styleId="ListContinue2">
    <w:name w:val="List Continue 2"/>
    <w:basedOn w:val="List2"/>
    <w:rsid w:val="00A80B8B"/>
    <w:pPr>
      <w:ind w:firstLine="0"/>
    </w:pPr>
  </w:style>
  <w:style w:type="paragraph" w:styleId="ListContinue3">
    <w:name w:val="List Continue 3"/>
    <w:basedOn w:val="List3"/>
    <w:rsid w:val="00A80B8B"/>
    <w:pPr>
      <w:ind w:left="1021" w:firstLine="0"/>
    </w:pPr>
  </w:style>
  <w:style w:type="paragraph" w:styleId="ListContinue4">
    <w:name w:val="List Continue 4"/>
    <w:basedOn w:val="List4"/>
    <w:rsid w:val="00A80B8B"/>
    <w:pPr>
      <w:ind w:firstLine="0"/>
    </w:pPr>
  </w:style>
  <w:style w:type="paragraph" w:styleId="ListContinue5">
    <w:name w:val="List Continue 5"/>
    <w:basedOn w:val="List5"/>
    <w:rsid w:val="00A80B8B"/>
    <w:pPr>
      <w:ind w:firstLine="0"/>
    </w:pPr>
  </w:style>
  <w:style w:type="paragraph" w:styleId="ListNumber3">
    <w:name w:val="List Number 3"/>
    <w:basedOn w:val="List3"/>
    <w:rsid w:val="00A80B8B"/>
    <w:pPr>
      <w:numPr>
        <w:numId w:val="6"/>
      </w:numPr>
    </w:pPr>
  </w:style>
  <w:style w:type="paragraph" w:styleId="ListNumber4">
    <w:name w:val="List Number 4"/>
    <w:basedOn w:val="List4"/>
    <w:rsid w:val="00A80B8B"/>
    <w:pPr>
      <w:numPr>
        <w:numId w:val="7"/>
      </w:numPr>
    </w:pPr>
  </w:style>
  <w:style w:type="paragraph" w:styleId="ListNumber5">
    <w:name w:val="List Number 5"/>
    <w:basedOn w:val="List5"/>
    <w:rsid w:val="00A80B8B"/>
    <w:pPr>
      <w:numPr>
        <w:numId w:val="8"/>
      </w:numPr>
    </w:pPr>
  </w:style>
  <w:style w:type="paragraph" w:styleId="BlockText">
    <w:name w:val="Block Text"/>
    <w:basedOn w:val="Normal"/>
    <w:rsid w:val="00A80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B8B"/>
    <w:rPr>
      <w:sz w:val="16"/>
      <w:vertAlign w:val="superscript"/>
    </w:rPr>
  </w:style>
  <w:style w:type="character" w:customStyle="1" w:styleId="Symbols">
    <w:name w:val="Symbols"/>
    <w:basedOn w:val="DefaultParagraphFont"/>
    <w:rsid w:val="00A80B8B"/>
    <w:rPr>
      <w:rFonts w:ascii="Symbol" w:hAnsi="Symbol"/>
    </w:rPr>
  </w:style>
  <w:style w:type="character" w:customStyle="1" w:styleId="MenuOptions">
    <w:name w:val="Menu Options"/>
    <w:basedOn w:val="DefaultParagraphFont"/>
    <w:rsid w:val="00A80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B8B"/>
    <w:rPr>
      <w:b/>
    </w:rPr>
  </w:style>
  <w:style w:type="character" w:customStyle="1" w:styleId="Underlined">
    <w:name w:val="Underlined"/>
    <w:basedOn w:val="DefaultParagraphFont"/>
    <w:rsid w:val="00A80B8B"/>
    <w:rPr>
      <w:u w:val="single"/>
    </w:rPr>
  </w:style>
  <w:style w:type="paragraph" w:customStyle="1" w:styleId="TableBodyTextRight">
    <w:name w:val="Table Body Text Right"/>
    <w:basedOn w:val="TableBodyText"/>
    <w:rsid w:val="00A80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B8B"/>
    <w:rPr>
      <w:sz w:val="18"/>
    </w:rPr>
  </w:style>
  <w:style w:type="paragraph" w:customStyle="1" w:styleId="BodySmallRight">
    <w:name w:val="Body Small Right"/>
    <w:basedOn w:val="BodyTextRight"/>
    <w:rsid w:val="00A80B8B"/>
    <w:rPr>
      <w:sz w:val="18"/>
      <w:szCs w:val="18"/>
    </w:rPr>
  </w:style>
  <w:style w:type="paragraph" w:customStyle="1" w:styleId="MarginEdition">
    <w:name w:val="Margin Edition"/>
    <w:basedOn w:val="MarginNote"/>
    <w:rsid w:val="00A80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B8B"/>
    <w:rPr>
      <w:sz w:val="2"/>
      <w:szCs w:val="2"/>
    </w:rPr>
  </w:style>
  <w:style w:type="character" w:customStyle="1" w:styleId="Small">
    <w:name w:val="Small"/>
    <w:basedOn w:val="DefaultParagraphFont"/>
    <w:rsid w:val="00A80B8B"/>
    <w:rPr>
      <w:sz w:val="16"/>
    </w:rPr>
  </w:style>
  <w:style w:type="paragraph" w:customStyle="1" w:styleId="WideTable">
    <w:name w:val="Wide Table"/>
    <w:basedOn w:val="Normal"/>
    <w:rsid w:val="00A80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B8B"/>
  </w:style>
  <w:style w:type="paragraph" w:styleId="Quote">
    <w:name w:val="Quote"/>
    <w:basedOn w:val="Heading1"/>
    <w:link w:val="QuoteChar"/>
    <w:qFormat/>
    <w:rsid w:val="00A80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B8B"/>
    <w:pPr>
      <w:pageBreakBefore/>
    </w:pPr>
  </w:style>
  <w:style w:type="paragraph" w:customStyle="1" w:styleId="Border">
    <w:name w:val="Border"/>
    <w:basedOn w:val="Normal"/>
    <w:qFormat/>
    <w:rsid w:val="00A80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B8B"/>
    <w:rPr>
      <w:u w:val="single"/>
    </w:rPr>
  </w:style>
  <w:style w:type="character" w:customStyle="1" w:styleId="BoldandItalics">
    <w:name w:val="Bold and Italics"/>
    <w:qFormat/>
    <w:rsid w:val="00A80B8B"/>
    <w:rPr>
      <w:b/>
      <w:i/>
      <w:u w:val="none"/>
    </w:rPr>
  </w:style>
  <w:style w:type="paragraph" w:styleId="BalloonText">
    <w:name w:val="Balloon Text"/>
    <w:basedOn w:val="Normal"/>
    <w:link w:val="BalloonTextChar"/>
    <w:rsid w:val="00A80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B8B"/>
    <w:pPr>
      <w:spacing w:before="0" w:after="0"/>
    </w:pPr>
  </w:style>
  <w:style w:type="paragraph" w:customStyle="1" w:styleId="BodyTextBold">
    <w:name w:val="Body Text Bold"/>
    <w:basedOn w:val="BodyText"/>
    <w:qFormat/>
    <w:rsid w:val="00A80B8B"/>
    <w:rPr>
      <w:b/>
    </w:rPr>
  </w:style>
  <w:style w:type="character" w:styleId="Hyperlink">
    <w:name w:val="Hyperlink"/>
    <w:basedOn w:val="DefaultParagraphFont"/>
    <w:uiPriority w:val="99"/>
    <w:unhideWhenUsed/>
    <w:rsid w:val="00D23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4225</Characters>
  <Application>Microsoft Office Word</Application>
  <DocSecurity>0</DocSecurity>
  <Lines>117</Lines>
  <Paragraphs>86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HLTKIN005 Monitor and evaluate client progress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