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6447" w:rsidP="00BC6447">
      <w:pPr>
        <w:pStyle w:val="Title"/>
      </w:pPr>
      <w:r>
        <w:fldChar w:fldCharType="begin"/>
      </w:r>
      <w:r>
        <w:instrText xml:space="preserve"> TITLE   \* MERGEFORMAT </w:instrText>
      </w:r>
      <w:r>
        <w:fldChar w:fldCharType="separate"/>
      </w:r>
      <w:r>
        <w:t>HLTKIN004 Provide kinesiology balances</w:t>
      </w:r>
      <w:r>
        <w:fldChar w:fldCharType="end"/>
      </w:r>
    </w:p>
    <w:p w:rsidR="00BC6447" w:rsidP="00BC6447">
      <w:pPr>
        <w:pStyle w:val="Version"/>
        <w:sectPr w:rsidSect="00D3386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3386D" w:rsidP="00D3386D">
      <w:pPr>
        <w:pStyle w:val="SuperHeading"/>
      </w:pPr>
      <w:r w:rsidRPr="00D3386D">
        <w:t>HLTKIN004 Provide kinesiology balances</w:t>
      </w:r>
    </w:p>
    <w:p w:rsidR="00000000" w:rsidRPr="00D3386D" w:rsidP="00D3386D">
      <w:pPr>
        <w:pStyle w:val="Heading1"/>
      </w:pPr>
      <w:bookmarkStart w:id="1" w:name="O_873290"/>
      <w:bookmarkEnd w:id="1"/>
      <w:r w:rsidRPr="00D3386D">
        <w:t>Modification History</w:t>
      </w:r>
    </w:p>
    <w:tbl>
      <w:tblPr>
        <w:tblW w:w="0" w:type="auto"/>
        <w:tblLayout w:type="fixed"/>
        <w:tblCellMar>
          <w:left w:w="62" w:type="dxa"/>
          <w:right w:w="62" w:type="dxa"/>
        </w:tblCellMar>
        <w:tblLook w:val="0000"/>
      </w:tblPr>
      <w:tblGrid>
        <w:gridCol w:w="2790"/>
        <w:gridCol w:w="6344"/>
      </w:tblGrid>
      <w:tr w:rsidTr="00D3386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386D" w:rsidP="00D3386D">
            <w:pPr>
              <w:pStyle w:val="BodyText"/>
            </w:pPr>
            <w:r w:rsidRPr="00D3386D">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386D">
            <w:pPr>
              <w:pStyle w:val="BodyText"/>
              <w:rPr>
                <w:lang w:val="en-NZ"/>
              </w:rPr>
            </w:pPr>
            <w:r w:rsidRPr="00D3386D">
              <w:rPr>
                <w:rStyle w:val="SpecialBold"/>
              </w:rPr>
              <w:t>Comments</w:t>
            </w:r>
          </w:p>
        </w:tc>
      </w:tr>
      <w:tr w:rsidTr="00D3386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386D">
            <w:pPr>
              <w:pStyle w:val="BodyText"/>
              <w:rPr>
                <w:lang w:val="en-NZ"/>
              </w:rPr>
            </w:pPr>
            <w:r w:rsidRPr="00D3386D">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386D" w:rsidP="00D3386D">
            <w:pPr>
              <w:pStyle w:val="BodyText"/>
            </w:pPr>
            <w:r w:rsidRPr="00D3386D">
              <w:t xml:space="preserve">This version was released in </w:t>
            </w:r>
            <w:r w:rsidRPr="00D3386D">
              <w:rPr>
                <w:rStyle w:val="Emphasis"/>
              </w:rPr>
              <w:t>CHC Community Services Training Package release 2.0</w:t>
            </w:r>
            <w:r w:rsidRPr="00D3386D">
              <w:t xml:space="preserve"> and meets the requirements of the 2012 Standards for Training Packages.</w:t>
            </w:r>
          </w:p>
          <w:p w:rsidR="00000000" w:rsidRPr="00D3386D" w:rsidP="00D3386D">
            <w:pPr>
              <w:pStyle w:val="BodyText"/>
            </w:pPr>
          </w:p>
          <w:p w:rsidR="00000000" w:rsidRPr="00D3386D" w:rsidP="00D3386D">
            <w:pPr>
              <w:pStyle w:val="BodyText"/>
            </w:pPr>
            <w:r w:rsidRPr="00D3386D">
              <w:t>Significant changes to the elements and performance c</w:t>
            </w:r>
            <w:r w:rsidRPr="00D3386D">
              <w:t>riteria. New evidence requirements for assessment, including volume and frequency requirements. Significant change to knowledge evidence. Minimum clinic hours added. Additional assessor requirements.</w:t>
            </w:r>
          </w:p>
        </w:tc>
      </w:tr>
    </w:tbl>
    <w:p w:rsidR="00000000" w:rsidRPr="00D3386D" w:rsidP="00D3386D">
      <w:pPr>
        <w:pStyle w:val="BodyText"/>
      </w:pPr>
    </w:p>
    <w:p w:rsidR="00000000" w:rsidRPr="00D3386D" w:rsidP="00D3386D">
      <w:pPr>
        <w:pStyle w:val="AllowPageBreak"/>
      </w:pPr>
    </w:p>
    <w:p w:rsidR="00000000" w:rsidRPr="00D3386D" w:rsidP="00D3386D">
      <w:pPr>
        <w:pStyle w:val="Heading1"/>
      </w:pPr>
      <w:bookmarkStart w:id="2" w:name="O_873289"/>
      <w:bookmarkEnd w:id="2"/>
      <w:r w:rsidRPr="00D3386D">
        <w:t>Application</w:t>
      </w:r>
    </w:p>
    <w:p w:rsidR="00000000" w:rsidRPr="00D3386D" w:rsidP="00BC6447">
      <w:pPr>
        <w:pStyle w:val="BodyText"/>
      </w:pPr>
      <w:r w:rsidRPr="00D3386D">
        <w:t>This unit describes the s</w:t>
      </w:r>
      <w:r w:rsidRPr="00D3386D">
        <w:t>kills and knowledge required to obtain client information, conduct kinesiology tests and correlate client and practitioner perspectives to make an assessment about healing needs. Kinesiologists are not expected to diagnose conditions but must be able to re</w:t>
      </w:r>
      <w:r w:rsidRPr="00D3386D">
        <w:t>cognise the indications and contraindications of conditions.</w:t>
      </w:r>
    </w:p>
    <w:p w:rsidR="00000000" w:rsidRPr="00D3386D" w:rsidP="00BC6447">
      <w:pPr>
        <w:pStyle w:val="BodyText"/>
      </w:pPr>
      <w:r w:rsidRPr="00D3386D">
        <w:t>This unit applies to kinesiologists.</w:t>
      </w:r>
    </w:p>
    <w:p w:rsidR="00000000" w:rsidRPr="00BC6447" w:rsidP="00BC6447">
      <w:pPr>
        <w:pStyle w:val="BodyText"/>
        <w:rPr>
          <w:i/>
        </w:rPr>
      </w:pPr>
      <w:r w:rsidRPr="00BC6447">
        <w:rPr>
          <w:rStyle w:val="Emphasis"/>
        </w:rPr>
        <w:t>The skills in this unit must be applied in accordance with Commonwealth and State/Territory legislation, Australian/New Zealand standards and industry codes</w:t>
      </w:r>
      <w:r w:rsidRPr="00BC6447">
        <w:rPr>
          <w:rStyle w:val="Emphasis"/>
        </w:rPr>
        <w:t xml:space="preserve"> of practice</w:t>
      </w:r>
      <w:r w:rsidRPr="00BC6447">
        <w:rPr>
          <w:i/>
        </w:rPr>
        <w:t>.</w:t>
      </w:r>
    </w:p>
    <w:p w:rsidR="00000000" w:rsidRPr="00D3386D" w:rsidP="00D3386D">
      <w:pPr>
        <w:pStyle w:val="Heading1"/>
      </w:pPr>
      <w:bookmarkStart w:id="3" w:name="O_873288"/>
      <w:bookmarkEnd w:id="3"/>
      <w:r w:rsidRPr="00D3386D">
        <w:t>Elements and Performance Criteria</w:t>
      </w:r>
    </w:p>
    <w:tbl>
      <w:tblPr>
        <w:tblW w:w="0" w:type="auto"/>
        <w:tblLayout w:type="fixed"/>
        <w:tblCellMar>
          <w:left w:w="62" w:type="dxa"/>
          <w:right w:w="62" w:type="dxa"/>
        </w:tblCellMar>
        <w:tblLook w:val="0000"/>
      </w:tblPr>
      <w:tblGrid>
        <w:gridCol w:w="3261"/>
        <w:gridCol w:w="5702"/>
      </w:tblGrid>
      <w:tr w:rsidTr="00D3386D">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D3386D" w:rsidP="00D3386D">
            <w:pPr>
              <w:pStyle w:val="BodyText"/>
            </w:pPr>
            <w:r w:rsidRPr="00D3386D">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3386D">
            <w:pPr>
              <w:pStyle w:val="BodyText"/>
              <w:rPr>
                <w:lang w:val="en-NZ"/>
              </w:rPr>
            </w:pPr>
            <w:r w:rsidRPr="00D3386D">
              <w:rPr>
                <w:rStyle w:val="SpecialBold"/>
              </w:rPr>
              <w:t>PERFORMANCE CRITERIA</w:t>
            </w:r>
          </w:p>
        </w:tc>
      </w:tr>
      <w:tr w:rsidTr="00D3386D">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D3386D" w:rsidP="00D3386D">
            <w:pPr>
              <w:pStyle w:val="BodyText"/>
            </w:pPr>
            <w:r w:rsidRPr="00D3386D">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D3386D">
            <w:pPr>
              <w:pStyle w:val="BodyText"/>
              <w:rPr>
                <w:lang w:val="en-NZ"/>
              </w:rPr>
            </w:pPr>
            <w:r w:rsidRPr="00D3386D">
              <w:rPr>
                <w:rStyle w:val="Emphasis"/>
              </w:rPr>
              <w:t>Performance criteria describe the performance needed to demonstrate achievement of the element.</w:t>
            </w:r>
          </w:p>
        </w:tc>
      </w:tr>
      <w:tr w:rsidTr="00D3386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3386D">
            <w:pPr>
              <w:pStyle w:val="BodyText"/>
              <w:rPr>
                <w:lang w:val="en-NZ"/>
              </w:rPr>
            </w:pPr>
            <w:r w:rsidRPr="00D3386D">
              <w:t>1. Prepare the client for kinesiology balance</w:t>
            </w:r>
          </w:p>
        </w:tc>
        <w:tc>
          <w:tcPr>
            <w:tcW w:w="5702" w:type="dxa"/>
            <w:tcBorders>
              <w:top w:val="nil"/>
              <w:left w:val="nil"/>
              <w:bottom w:val="nil"/>
              <w:right w:val="nil"/>
            </w:tcBorders>
            <w:tcMar>
              <w:top w:w="0" w:type="dxa"/>
              <w:left w:w="62" w:type="dxa"/>
              <w:bottom w:w="0" w:type="dxa"/>
              <w:right w:w="62" w:type="dxa"/>
            </w:tcMar>
          </w:tcPr>
          <w:p w:rsidR="00000000" w:rsidRPr="00D3386D" w:rsidP="00D3386D">
            <w:pPr>
              <w:pStyle w:val="BodyText"/>
            </w:pPr>
            <w:r w:rsidRPr="00D3386D">
              <w:t>1.1 Provide clear information about muscle monitoring and balancing and confirm understanding</w:t>
            </w:r>
          </w:p>
          <w:p w:rsidR="00000000" w:rsidRPr="00D3386D" w:rsidP="00D3386D">
            <w:pPr>
              <w:pStyle w:val="BodyText"/>
            </w:pPr>
            <w:r w:rsidRPr="00D3386D">
              <w:t>1.2 Explain factors which may interfere with the effectiveness of the balance</w:t>
            </w:r>
          </w:p>
          <w:p w:rsidR="00000000" w:rsidRPr="00D3386D" w:rsidP="00D3386D">
            <w:pPr>
              <w:pStyle w:val="BodyText"/>
            </w:pPr>
            <w:r w:rsidRPr="00D3386D">
              <w:t>1.3 Inform the client of potential rea</w:t>
            </w:r>
            <w:r w:rsidRPr="00D3386D">
              <w:t xml:space="preserve">ctions during and </w:t>
            </w:r>
            <w:r w:rsidRPr="00D3386D">
              <w:t>following a session and the appropriate course of action to take</w:t>
            </w:r>
          </w:p>
          <w:p w:rsidR="00000000" w:rsidP="00D3386D">
            <w:pPr>
              <w:pStyle w:val="BodyText"/>
              <w:rPr>
                <w:lang w:val="en-NZ"/>
              </w:rPr>
            </w:pPr>
            <w:r w:rsidRPr="00D3386D">
              <w:t>1.4 Explain to the client how the balancing process supports innate healing capacities and the role of the kinesiologist as the facilitator for that process</w:t>
            </w:r>
          </w:p>
        </w:tc>
      </w:tr>
      <w:tr w:rsidTr="00D3386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3386D">
            <w:pPr>
              <w:pStyle w:val="BodyText"/>
              <w:rPr>
                <w:lang w:val="en-NZ"/>
              </w:rPr>
            </w:pPr>
          </w:p>
        </w:tc>
      </w:tr>
      <w:tr w:rsidTr="00D3386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3386D">
            <w:pPr>
              <w:pStyle w:val="BodyText"/>
              <w:rPr>
                <w:lang w:val="en-NZ"/>
              </w:rPr>
            </w:pPr>
            <w:r w:rsidRPr="00D3386D">
              <w:t xml:space="preserve">2. Identify </w:t>
            </w:r>
            <w:r w:rsidRPr="00D3386D">
              <w:t>priority issue through kinesiological enquiry</w:t>
            </w:r>
          </w:p>
        </w:tc>
        <w:tc>
          <w:tcPr>
            <w:tcW w:w="5702" w:type="dxa"/>
            <w:tcBorders>
              <w:top w:val="nil"/>
              <w:left w:val="nil"/>
              <w:bottom w:val="nil"/>
              <w:right w:val="nil"/>
            </w:tcBorders>
            <w:tcMar>
              <w:top w:w="0" w:type="dxa"/>
              <w:left w:w="62" w:type="dxa"/>
              <w:bottom w:w="0" w:type="dxa"/>
              <w:right w:w="62" w:type="dxa"/>
            </w:tcMar>
          </w:tcPr>
          <w:p w:rsidR="00000000" w:rsidRPr="00D3386D" w:rsidP="00D3386D">
            <w:pPr>
              <w:pStyle w:val="BodyText"/>
            </w:pPr>
            <w:r w:rsidRPr="00D3386D">
              <w:t>2.1 Identify priority issue based on client’s expectations, review of data from assessment and the client treatment plan</w:t>
            </w:r>
          </w:p>
          <w:p w:rsidR="00000000" w:rsidRPr="00D3386D" w:rsidP="00D3386D">
            <w:pPr>
              <w:pStyle w:val="BodyText"/>
            </w:pPr>
            <w:r w:rsidRPr="00D3386D">
              <w:t>2.2 Respond to client enquiries using language the client understands</w:t>
            </w:r>
          </w:p>
          <w:p w:rsidR="00000000" w:rsidRPr="00D3386D" w:rsidP="00D3386D">
            <w:pPr>
              <w:pStyle w:val="BodyText"/>
            </w:pPr>
            <w:r w:rsidRPr="00D3386D">
              <w:t>2.3 Muscle monitor to confirm client</w:t>
            </w:r>
            <w:r>
              <w:t>’</w:t>
            </w:r>
            <w:r w:rsidRPr="00D3386D">
              <w:t>s willingness and capacity for healing on the priority issue</w:t>
            </w:r>
          </w:p>
          <w:p w:rsidR="00000000" w:rsidRPr="00D3386D" w:rsidP="00D3386D">
            <w:pPr>
              <w:pStyle w:val="BodyText"/>
            </w:pPr>
            <w:r w:rsidRPr="00D3386D">
              <w:t>2.4 Identify and record imbalances according to modality procedures and the client treatment plan</w:t>
            </w:r>
          </w:p>
          <w:p w:rsidR="00000000" w:rsidP="00D3386D">
            <w:pPr>
              <w:pStyle w:val="BodyText"/>
              <w:rPr>
                <w:lang w:val="en-NZ"/>
              </w:rPr>
            </w:pPr>
            <w:r w:rsidRPr="00D3386D">
              <w:t>2.5 Identify and evaluate need for singular or multiple sess</w:t>
            </w:r>
            <w:r w:rsidRPr="00D3386D">
              <w:t>ions based on outcomes of enquiry and client feedback</w:t>
            </w:r>
          </w:p>
        </w:tc>
      </w:tr>
      <w:tr w:rsidTr="00D3386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3386D">
            <w:pPr>
              <w:pStyle w:val="BodyText"/>
              <w:rPr>
                <w:lang w:val="en-NZ"/>
              </w:rPr>
            </w:pPr>
          </w:p>
        </w:tc>
      </w:tr>
      <w:tr w:rsidTr="00D3386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3386D">
            <w:pPr>
              <w:pStyle w:val="BodyText"/>
              <w:rPr>
                <w:lang w:val="en-NZ"/>
              </w:rPr>
            </w:pPr>
            <w:r w:rsidRPr="00D3386D">
              <w:t>3. Apply balancing techniques through muscle monitoring</w:t>
            </w:r>
          </w:p>
        </w:tc>
        <w:tc>
          <w:tcPr>
            <w:tcW w:w="5702" w:type="dxa"/>
            <w:tcBorders>
              <w:top w:val="nil"/>
              <w:left w:val="nil"/>
              <w:bottom w:val="nil"/>
              <w:right w:val="nil"/>
            </w:tcBorders>
            <w:tcMar>
              <w:top w:w="0" w:type="dxa"/>
              <w:left w:w="62" w:type="dxa"/>
              <w:bottom w:w="0" w:type="dxa"/>
              <w:right w:w="62" w:type="dxa"/>
            </w:tcMar>
          </w:tcPr>
          <w:p w:rsidR="00000000" w:rsidRPr="00D3386D" w:rsidP="00D3386D">
            <w:pPr>
              <w:pStyle w:val="BodyText"/>
            </w:pPr>
            <w:r w:rsidRPr="00D3386D">
              <w:t>3.1 Identify balancing options and select relevant muscles using established modality protocols based on kinesiology enquiry and assessment in</w:t>
            </w:r>
            <w:r w:rsidRPr="00D3386D">
              <w:t xml:space="preserve">dications </w:t>
            </w:r>
          </w:p>
          <w:p w:rsidR="00000000" w:rsidRPr="00D3386D" w:rsidP="00D3386D">
            <w:pPr>
              <w:pStyle w:val="BodyText"/>
            </w:pPr>
            <w:r w:rsidRPr="00D3386D">
              <w:t>3.2 Use the condition and response of the client as a continual feedback to the initial assessment</w:t>
            </w:r>
          </w:p>
          <w:p w:rsidR="00000000" w:rsidRPr="00D3386D" w:rsidP="00D3386D">
            <w:pPr>
              <w:pStyle w:val="BodyText"/>
            </w:pPr>
            <w:r w:rsidRPr="00D3386D">
              <w:t>3.3 Maintain client-focused attention throughout the session</w:t>
            </w:r>
          </w:p>
          <w:p w:rsidR="00000000" w:rsidRPr="00D3386D" w:rsidP="00D3386D">
            <w:pPr>
              <w:pStyle w:val="BodyText"/>
            </w:pPr>
            <w:r w:rsidRPr="00D3386D">
              <w:t>3.4 Use appropriate correction techniques as indicated by muscle monitoring responses</w:t>
            </w:r>
          </w:p>
          <w:p w:rsidR="00000000" w:rsidP="00D3386D">
            <w:pPr>
              <w:pStyle w:val="BodyText"/>
              <w:rPr>
                <w:lang w:val="en-NZ"/>
              </w:rPr>
            </w:pPr>
            <w:r w:rsidRPr="00D3386D">
              <w:t>3.5 Explain corrections and/or activities performed during the session to the client</w:t>
            </w:r>
          </w:p>
        </w:tc>
      </w:tr>
      <w:tr w:rsidTr="00D3386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3386D">
            <w:pPr>
              <w:pStyle w:val="BodyText"/>
              <w:rPr>
                <w:lang w:val="en-NZ"/>
              </w:rPr>
            </w:pPr>
          </w:p>
        </w:tc>
      </w:tr>
      <w:tr w:rsidTr="00D3386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3386D">
            <w:pPr>
              <w:pStyle w:val="BodyText"/>
              <w:rPr>
                <w:lang w:val="en-NZ"/>
              </w:rPr>
            </w:pPr>
            <w:r w:rsidRPr="00D3386D">
              <w:t>4. Monitor and record progress of balancing</w:t>
            </w:r>
          </w:p>
        </w:tc>
        <w:tc>
          <w:tcPr>
            <w:tcW w:w="5702" w:type="dxa"/>
            <w:tcBorders>
              <w:top w:val="nil"/>
              <w:left w:val="nil"/>
              <w:bottom w:val="nil"/>
              <w:right w:val="nil"/>
            </w:tcBorders>
            <w:tcMar>
              <w:top w:w="0" w:type="dxa"/>
              <w:left w:w="62" w:type="dxa"/>
              <w:bottom w:w="0" w:type="dxa"/>
              <w:right w:w="62" w:type="dxa"/>
            </w:tcMar>
          </w:tcPr>
          <w:p w:rsidR="00000000" w:rsidRPr="00D3386D" w:rsidP="00D3386D">
            <w:pPr>
              <w:pStyle w:val="BodyText"/>
            </w:pPr>
            <w:r w:rsidRPr="00D3386D">
              <w:t>4.1 Monitor and evaluate effectiveness of all corrections</w:t>
            </w:r>
          </w:p>
          <w:p w:rsidR="00000000" w:rsidRPr="00D3386D" w:rsidP="00D3386D">
            <w:pPr>
              <w:pStyle w:val="BodyText"/>
            </w:pPr>
            <w:r w:rsidRPr="00D3386D">
              <w:t xml:space="preserve">4.2 Recognise reactions to treatment and respond </w:t>
            </w:r>
            <w:r w:rsidRPr="00D3386D">
              <w:t>promptly if nec</w:t>
            </w:r>
            <w:r w:rsidRPr="00D3386D">
              <w:t>essary</w:t>
            </w:r>
          </w:p>
          <w:p w:rsidR="00000000" w:rsidRPr="00D3386D" w:rsidP="00D3386D">
            <w:pPr>
              <w:pStyle w:val="BodyText"/>
            </w:pPr>
            <w:r w:rsidRPr="00D3386D">
              <w:t>4.3 Continue applying corrections until the muscle monitoring process indicates that the balance is complete for this session or the agreed amount of time has passed/elapsed</w:t>
            </w:r>
          </w:p>
          <w:p w:rsidR="00000000" w:rsidRPr="00D3386D" w:rsidP="00D3386D">
            <w:pPr>
              <w:pStyle w:val="BodyText"/>
            </w:pPr>
            <w:r w:rsidRPr="00D3386D">
              <w:t>4.4 Record client awareness relevant to issue on assessment record</w:t>
            </w:r>
          </w:p>
          <w:p w:rsidR="00000000" w:rsidP="00D3386D">
            <w:pPr>
              <w:pStyle w:val="BodyText"/>
              <w:rPr>
                <w:lang w:val="en-NZ"/>
              </w:rPr>
            </w:pPr>
            <w:r w:rsidRPr="00D3386D">
              <w:t>4.5Compa</w:t>
            </w:r>
            <w:r w:rsidRPr="00D3386D">
              <w:t>re baseline assessment and evaluate effectiveness of balance</w:t>
            </w:r>
          </w:p>
        </w:tc>
      </w:tr>
      <w:tr w:rsidTr="00D3386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3386D">
            <w:pPr>
              <w:pStyle w:val="BodyText"/>
              <w:rPr>
                <w:lang w:val="en-NZ"/>
              </w:rPr>
            </w:pPr>
          </w:p>
        </w:tc>
      </w:tr>
      <w:tr w:rsidTr="00D3386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D3386D" w:rsidP="00D3386D">
            <w:pPr>
              <w:pStyle w:val="BodyText"/>
            </w:pPr>
            <w:r w:rsidRPr="00D3386D">
              <w:t>5. Finalise the session</w:t>
            </w:r>
          </w:p>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D3386D" w:rsidP="00D3386D">
            <w:pPr>
              <w:pStyle w:val="BodyText"/>
            </w:pPr>
            <w:r w:rsidRPr="00D3386D">
              <w:t>5.1 Educate client in relevant and practical techniques that support the balance</w:t>
            </w:r>
          </w:p>
          <w:p w:rsidR="00000000" w:rsidRPr="00D3386D" w:rsidP="00D3386D">
            <w:pPr>
              <w:pStyle w:val="BodyText"/>
            </w:pPr>
            <w:r w:rsidRPr="00D3386D">
              <w:t>5.2 Answer client queries with clarity using appropriate language</w:t>
            </w:r>
          </w:p>
          <w:p w:rsidR="00000000" w:rsidRPr="00D3386D" w:rsidP="00D3386D">
            <w:pPr>
              <w:pStyle w:val="BodyText"/>
            </w:pPr>
            <w:r w:rsidRPr="00D3386D">
              <w:t>5.3 Use honesty and integrity when explaining recommendations to the client</w:t>
            </w:r>
          </w:p>
          <w:p w:rsidR="00000000" w:rsidRPr="00D3386D" w:rsidP="00D3386D">
            <w:pPr>
              <w:pStyle w:val="BodyText"/>
            </w:pPr>
            <w:r w:rsidRPr="00D3386D">
              <w:t xml:space="preserve">5.4 Request client to monitor reactions and to contact practitioner as required </w:t>
            </w:r>
          </w:p>
          <w:p w:rsidR="00000000" w:rsidRPr="00D3386D" w:rsidP="00D3386D">
            <w:pPr>
              <w:pStyle w:val="BodyText"/>
            </w:pPr>
            <w:r w:rsidRPr="00D3386D">
              <w:t>5.5 Promote client independence and self-responsibility in treatment when appropriate</w:t>
            </w:r>
          </w:p>
          <w:p w:rsidR="00000000" w:rsidRPr="00D3386D" w:rsidP="00D3386D">
            <w:pPr>
              <w:pStyle w:val="BodyText"/>
            </w:pPr>
            <w:r w:rsidRPr="00D3386D">
              <w:t>5.6 Accuratel</w:t>
            </w:r>
            <w:r w:rsidRPr="00D3386D">
              <w:t>y document details of information provided to client</w:t>
            </w:r>
          </w:p>
          <w:p w:rsidR="00000000" w:rsidRPr="00D3386D" w:rsidP="00D3386D">
            <w:pPr>
              <w:pStyle w:val="BodyText"/>
            </w:pPr>
            <w:r w:rsidRPr="00D3386D">
              <w:t xml:space="preserve">5.7 Determine need for ongoing sessions in consultation with client </w:t>
            </w:r>
          </w:p>
        </w:tc>
      </w:tr>
    </w:tbl>
    <w:p w:rsidR="00000000" w:rsidRPr="00D3386D" w:rsidP="00D3386D">
      <w:pPr>
        <w:pStyle w:val="BodyText"/>
      </w:pPr>
    </w:p>
    <w:p w:rsidR="00000000" w:rsidRPr="00D3386D" w:rsidP="00D3386D">
      <w:pPr>
        <w:pStyle w:val="AllowPageBreak"/>
      </w:pPr>
    </w:p>
    <w:p w:rsidR="00000000" w:rsidRPr="00D3386D" w:rsidP="00D3386D">
      <w:pPr>
        <w:pStyle w:val="Heading1"/>
      </w:pPr>
      <w:bookmarkStart w:id="4" w:name="O_873287"/>
      <w:bookmarkEnd w:id="4"/>
      <w:r w:rsidRPr="00D3386D">
        <w:t>Foundation Skills</w:t>
      </w:r>
    </w:p>
    <w:p w:rsidR="00000000" w:rsidRPr="00BC6447" w:rsidP="00BC6447">
      <w:pPr>
        <w:pStyle w:val="BodyText"/>
        <w:rPr>
          <w:i/>
        </w:rPr>
      </w:pPr>
      <w:r w:rsidRPr="00BC6447">
        <w:rPr>
          <w:rStyle w:val="Emphasis"/>
        </w:rPr>
        <w:t>The Foundation Skills describe those required skills (language, literacy, numeracy and employment</w:t>
      </w:r>
      <w:r w:rsidRPr="00BC6447">
        <w:rPr>
          <w:rStyle w:val="Emphasis"/>
        </w:rPr>
        <w:t xml:space="preserve"> skills) that are essential to performance.</w:t>
      </w:r>
    </w:p>
    <w:p w:rsidR="00000000" w:rsidRPr="00D3386D" w:rsidP="00BC6447">
      <w:pPr>
        <w:pStyle w:val="BodyText"/>
      </w:pPr>
      <w:r w:rsidRPr="00D3386D">
        <w:t>Foundation skills essential to performance are explicit in the performance criteria of this unit of competency.</w:t>
      </w:r>
    </w:p>
    <w:p w:rsidR="00000000" w:rsidRPr="00D3386D" w:rsidP="00D3386D">
      <w:pPr>
        <w:pStyle w:val="Heading1"/>
      </w:pPr>
      <w:bookmarkStart w:id="5" w:name="O_873286"/>
      <w:bookmarkEnd w:id="5"/>
      <w:r w:rsidRPr="00D3386D">
        <w:t>Unit Mapping Information</w:t>
      </w:r>
    </w:p>
    <w:p w:rsidR="00000000" w:rsidRPr="00D3386D" w:rsidP="00BC6447">
      <w:pPr>
        <w:pStyle w:val="BodyText"/>
      </w:pPr>
      <w:r w:rsidRPr="00D3386D">
        <w:t>No equivalent unit.</w:t>
      </w:r>
    </w:p>
    <w:p w:rsidR="00000000" w:rsidRPr="00D3386D" w:rsidP="00D3386D">
      <w:pPr>
        <w:pStyle w:val="Heading1"/>
      </w:pPr>
      <w:bookmarkStart w:id="6" w:name="O_873291"/>
      <w:bookmarkEnd w:id="6"/>
      <w:r w:rsidRPr="00D3386D">
        <w:t>Links</w:t>
      </w:r>
    </w:p>
    <w:p w:rsidR="00000000" w:rsidRPr="00D3386D" w:rsidP="00BC6447">
      <w:pPr>
        <w:pStyle w:val="BodyText"/>
      </w:pPr>
      <w:r w:rsidRPr="00D3386D">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885D89">
        <w:rPr>
          <w:rStyle w:val="Hyperlink"/>
        </w:rPr>
        <w:t>https://vetnet.gov.au/Pages/TrainingDocs.aspx?q=ced1390f-48d9-4ab0-bd50-b015e5485705</w:t>
      </w:r>
      <w:r>
        <w:fldChar w:fldCharType="end"/>
      </w:r>
    </w:p>
    <w:p w:rsidR="00000000" w:rsidRPr="00D3386D" w:rsidP="00BC6447">
      <w:pPr>
        <w:pStyle w:val="BodyText"/>
        <w:sectPr w:rsidSect="00D3386D">
          <w:headerReference w:type="default" r:id="rId10"/>
          <w:footerReference w:type="default" r:id="rId11"/>
          <w:pgSz w:w="11908" w:h="16833"/>
          <w:pgMar w:top="1702" w:right="1418" w:bottom="1702" w:left="1418" w:header="992" w:footer="992" w:gutter="0"/>
          <w:cols w:space="720"/>
          <w:noEndnote/>
          <w:docGrid w:linePitch="299"/>
        </w:sectPr>
      </w:pPr>
    </w:p>
    <w:p w:rsidR="00000000" w:rsidRPr="00D3386D" w:rsidP="00D3386D">
      <w:pPr>
        <w:pStyle w:val="SuperHeading"/>
      </w:pPr>
      <w:r w:rsidRPr="00D3386D">
        <w:t>Assessment Requirements for HLTKIN004 Provide kinesiology balan</w:t>
      </w:r>
      <w:r w:rsidRPr="00D3386D">
        <w:t>ces</w:t>
      </w:r>
    </w:p>
    <w:p w:rsidR="00000000" w:rsidRPr="00D3386D" w:rsidP="00D3386D">
      <w:pPr>
        <w:pStyle w:val="Heading1"/>
      </w:pPr>
      <w:bookmarkStart w:id="7" w:name="O_873284"/>
      <w:bookmarkEnd w:id="7"/>
      <w:r w:rsidRPr="00D3386D">
        <w:t>Modification History</w:t>
      </w:r>
    </w:p>
    <w:tbl>
      <w:tblPr>
        <w:tblW w:w="0" w:type="auto"/>
        <w:tblLayout w:type="fixed"/>
        <w:tblCellMar>
          <w:left w:w="62" w:type="dxa"/>
          <w:right w:w="62" w:type="dxa"/>
        </w:tblCellMar>
        <w:tblLook w:val="0000"/>
      </w:tblPr>
      <w:tblGrid>
        <w:gridCol w:w="2790"/>
        <w:gridCol w:w="6344"/>
      </w:tblGrid>
      <w:tr w:rsidTr="00D3386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386D" w:rsidP="00D3386D">
            <w:pPr>
              <w:pStyle w:val="BodyText"/>
            </w:pPr>
            <w:r w:rsidRPr="00D3386D">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386D">
            <w:pPr>
              <w:pStyle w:val="BodyText"/>
              <w:rPr>
                <w:lang w:val="en-NZ"/>
              </w:rPr>
            </w:pPr>
            <w:r w:rsidRPr="00D3386D">
              <w:rPr>
                <w:rStyle w:val="SpecialBold"/>
              </w:rPr>
              <w:t>Comments</w:t>
            </w:r>
          </w:p>
        </w:tc>
      </w:tr>
      <w:tr w:rsidTr="00D3386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386D">
            <w:pPr>
              <w:pStyle w:val="BodyText"/>
              <w:rPr>
                <w:lang w:val="en-NZ"/>
              </w:rPr>
            </w:pPr>
            <w:r w:rsidRPr="00D3386D">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386D" w:rsidP="00D3386D">
            <w:pPr>
              <w:pStyle w:val="BodyText"/>
            </w:pPr>
            <w:r w:rsidRPr="00D3386D">
              <w:t>Corrections to typographical errors in the Performance Evidence and Knowledge Evidence.</w:t>
            </w:r>
          </w:p>
          <w:p w:rsidR="00000000" w:rsidP="00D3386D">
            <w:pPr>
              <w:pStyle w:val="BodyText"/>
              <w:rPr>
                <w:lang w:val="en-NZ"/>
              </w:rPr>
            </w:pPr>
            <w:r w:rsidRPr="00D3386D">
              <w:t>Equivalent outcome.</w:t>
            </w:r>
          </w:p>
        </w:tc>
      </w:tr>
      <w:tr w:rsidTr="00D3386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386D">
            <w:pPr>
              <w:pStyle w:val="BodyText"/>
              <w:rPr>
                <w:lang w:val="en-NZ"/>
              </w:rPr>
            </w:pPr>
            <w:r w:rsidRPr="00D3386D">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386D" w:rsidP="00D3386D">
            <w:pPr>
              <w:pStyle w:val="BodyText"/>
            </w:pPr>
            <w:r w:rsidRPr="00D3386D">
              <w:t xml:space="preserve">This version was released in </w:t>
            </w:r>
            <w:r w:rsidRPr="00D3386D">
              <w:rPr>
                <w:rStyle w:val="Emphasis"/>
              </w:rPr>
              <w:t>CHC Community Services Training Package</w:t>
            </w:r>
            <w:r w:rsidRPr="00D3386D">
              <w:rPr>
                <w:rStyle w:val="Emphasis"/>
              </w:rPr>
              <w:t xml:space="preserve"> release 2.0</w:t>
            </w:r>
            <w:r w:rsidRPr="00D3386D">
              <w:t xml:space="preserve"> and meets the requirements of the 2012 Standards for Training Packages.</w:t>
            </w:r>
          </w:p>
          <w:p w:rsidR="00000000" w:rsidRPr="00D3386D" w:rsidP="00D3386D">
            <w:pPr>
              <w:pStyle w:val="BodyText"/>
            </w:pPr>
          </w:p>
          <w:p w:rsidR="00000000" w:rsidRPr="00D3386D" w:rsidP="00D3386D">
            <w:pPr>
              <w:pStyle w:val="BodyText"/>
            </w:pPr>
            <w:r w:rsidRPr="00D3386D">
              <w:t>Significant changes to the elements and performance criteria. New evidence requirements for assessment, including volume and frequency requirements. Significant change to knowledge evidence. Minimum clinic hours added. Additional assessor requirements.</w:t>
            </w:r>
          </w:p>
        </w:tc>
      </w:tr>
    </w:tbl>
    <w:p w:rsidR="00000000" w:rsidRPr="00D3386D" w:rsidP="00D3386D">
      <w:pPr>
        <w:pStyle w:val="BodyText"/>
      </w:pPr>
    </w:p>
    <w:p w:rsidR="00000000" w:rsidRPr="00D3386D" w:rsidP="00D3386D">
      <w:pPr>
        <w:pStyle w:val="AllowPageBreak"/>
      </w:pPr>
    </w:p>
    <w:p w:rsidR="00000000" w:rsidRPr="00D3386D" w:rsidP="00D3386D">
      <w:pPr>
        <w:pStyle w:val="Heading1"/>
      </w:pPr>
      <w:bookmarkStart w:id="8" w:name="O_873283"/>
      <w:bookmarkEnd w:id="8"/>
      <w:r w:rsidRPr="00D3386D">
        <w:t>Performance Evidence</w:t>
      </w:r>
    </w:p>
    <w:p w:rsidR="00000000" w:rsidRPr="00D3386D" w:rsidP="00BC6447">
      <w:pPr>
        <w:pStyle w:val="BodyText"/>
      </w:pPr>
      <w:r w:rsidRPr="00D3386D">
        <w:t xml:space="preserve">The candidate must show evidence of the ability to complete tasks outlined in elements and performance criteria of this unit, manage tasks and manage contingencies in the context of the job role. There must be evidence </w:t>
      </w:r>
      <w:r w:rsidRPr="00D3386D">
        <w:t>that the candidate has:</w:t>
      </w:r>
    </w:p>
    <w:p w:rsidR="00000000" w:rsidRPr="00D3386D" w:rsidP="00D3386D">
      <w:pPr>
        <w:pStyle w:val="ListBullet"/>
      </w:pPr>
      <w:r w:rsidRPr="00D3386D">
        <w:t>performed the activities outlined in the performance criteria of this unit during a period of at least 200 hours of kinesiology client consultation work</w:t>
      </w:r>
    </w:p>
    <w:p w:rsidR="00000000" w:rsidRPr="00D3386D" w:rsidP="00D3386D">
      <w:pPr>
        <w:pStyle w:val="ListBullet"/>
      </w:pPr>
      <w:r w:rsidRPr="00D3386D">
        <w:t>prepared for and managed full contextual balances according to modality proced</w:t>
      </w:r>
      <w:r w:rsidRPr="00D3386D">
        <w:t>ures for at least 40 different people, 10 of whom must be seen at least 3 times. Clients must include males and females from different stages of life with varied presentations</w:t>
      </w:r>
    </w:p>
    <w:p w:rsidR="00000000" w:rsidRPr="00D3386D" w:rsidP="00D3386D">
      <w:pPr>
        <w:pStyle w:val="ListBullet"/>
      </w:pPr>
      <w:r w:rsidRPr="00D3386D">
        <w:t>demonstrated accurate muscle monitoring including the starting point, range of t</w:t>
      </w:r>
      <w:r w:rsidRPr="00D3386D">
        <w:t>est, and the testing direction of at least 70 muscles, either individually or as part of a group, on at least 2 occasions per muscle or group. Muscles of the neck, shoulder, arm, trunk, hip and upper leg, lower leg and foot must be included</w:t>
      </w:r>
    </w:p>
    <w:p w:rsidR="00000000" w:rsidRPr="00D3386D" w:rsidP="00D3386D">
      <w:pPr>
        <w:pStyle w:val="ListBullet"/>
      </w:pPr>
      <w:r w:rsidRPr="00D3386D">
        <w:t xml:space="preserve">used surrogate </w:t>
      </w:r>
      <w:r w:rsidRPr="00D3386D">
        <w:t>muscle balancing on at least 3 different muscles from 3 different regions of the body</w:t>
      </w:r>
    </w:p>
    <w:p w:rsidR="00000000" w:rsidRPr="00D3386D" w:rsidP="00D3386D">
      <w:pPr>
        <w:pStyle w:val="ListBullet"/>
      </w:pPr>
      <w:r w:rsidRPr="00D3386D">
        <w:t>performed each of the following balancing techniques on at least 2 occasions:</w:t>
      </w:r>
    </w:p>
    <w:p w:rsidR="00000000" w:rsidRPr="00D3386D" w:rsidP="00D3386D">
      <w:pPr>
        <w:pStyle w:val="ListBullet2"/>
      </w:pPr>
      <w:r w:rsidRPr="00D3386D">
        <w:t>general kinesiology techniques, including:</w:t>
      </w:r>
    </w:p>
    <w:p w:rsidR="00000000" w:rsidRPr="00D3386D" w:rsidP="00D3386D">
      <w:pPr>
        <w:pStyle w:val="ListBullet3"/>
      </w:pPr>
      <w:r w:rsidRPr="00D3386D">
        <w:t>pre-checks for balancing: hydration, central and governing meridians, switching/overload</w:t>
      </w:r>
    </w:p>
    <w:p w:rsidR="00000000" w:rsidRPr="00D3386D" w:rsidP="00D3386D">
      <w:pPr>
        <w:pStyle w:val="ListBullet3"/>
      </w:pPr>
      <w:r w:rsidRPr="00D3386D">
        <w:t>stress statements, goals and affirmations, including reactive stress process</w:t>
      </w:r>
    </w:p>
    <w:p w:rsidR="00000000" w:rsidRPr="00D3386D" w:rsidP="00D3386D">
      <w:pPr>
        <w:pStyle w:val="ListBullet3"/>
      </w:pPr>
      <w:r w:rsidRPr="00D3386D">
        <w:t>use of scan lists</w:t>
      </w:r>
    </w:p>
    <w:p w:rsidR="00000000" w:rsidRPr="00D3386D" w:rsidP="00D3386D">
      <w:pPr>
        <w:pStyle w:val="ListBullet3"/>
      </w:pPr>
      <w:r w:rsidRPr="00D3386D">
        <w:t>age recession using muscle monitoring</w:t>
      </w:r>
    </w:p>
    <w:p w:rsidR="00000000" w:rsidRPr="00D3386D" w:rsidP="00D3386D">
      <w:pPr>
        <w:pStyle w:val="ListBullet3"/>
      </w:pPr>
      <w:r w:rsidRPr="00D3386D">
        <w:t>balancing via a surrogate</w:t>
      </w:r>
    </w:p>
    <w:p w:rsidR="00000000" w:rsidRPr="00D3386D" w:rsidP="00D3386D">
      <w:pPr>
        <w:pStyle w:val="ListBullet3"/>
      </w:pPr>
      <w:r w:rsidRPr="00D3386D">
        <w:t>polarity</w:t>
      </w:r>
      <w:r w:rsidRPr="00D3386D">
        <w:t xml:space="preserve"> </w:t>
      </w:r>
    </w:p>
    <w:p w:rsidR="00000000" w:rsidRPr="00D3386D" w:rsidP="00D3386D">
      <w:pPr>
        <w:pStyle w:val="ListBullet"/>
      </w:pPr>
      <w:r w:rsidRPr="00D3386D">
        <w:t>specific muscle balancing techniques, including:</w:t>
      </w:r>
    </w:p>
    <w:p w:rsidR="00000000" w:rsidRPr="00D3386D" w:rsidP="00D3386D">
      <w:pPr>
        <w:pStyle w:val="ListBullet2"/>
      </w:pPr>
      <w:r w:rsidRPr="00D3386D">
        <w:t xml:space="preserve">proprioception: spindle cell mechanism and golgi tendon apparatus </w:t>
      </w:r>
    </w:p>
    <w:p w:rsidR="00000000" w:rsidRPr="00D3386D" w:rsidP="00D3386D">
      <w:pPr>
        <w:pStyle w:val="ListBullet2"/>
      </w:pPr>
      <w:r w:rsidRPr="00D3386D">
        <w:t>reflexes including:</w:t>
      </w:r>
    </w:p>
    <w:p w:rsidR="00000000" w:rsidRPr="00D3386D" w:rsidP="00D3386D">
      <w:pPr>
        <w:pStyle w:val="ListBullet3"/>
      </w:pPr>
      <w:r w:rsidRPr="00D3386D">
        <w:t>spinal</w:t>
      </w:r>
    </w:p>
    <w:p w:rsidR="00000000" w:rsidRPr="00D3386D" w:rsidP="00D3386D">
      <w:pPr>
        <w:pStyle w:val="ListBullet3"/>
      </w:pPr>
      <w:r w:rsidRPr="00D3386D">
        <w:t xml:space="preserve">neurolymphatic </w:t>
      </w:r>
    </w:p>
    <w:p w:rsidR="00000000" w:rsidRPr="00D3386D" w:rsidP="00D3386D">
      <w:pPr>
        <w:pStyle w:val="ListBullet3"/>
      </w:pPr>
      <w:r w:rsidRPr="00D3386D">
        <w:t>neurovascular</w:t>
      </w:r>
    </w:p>
    <w:p w:rsidR="00000000" w:rsidRPr="00D3386D" w:rsidP="00D3386D">
      <w:pPr>
        <w:pStyle w:val="ListBullet2"/>
      </w:pPr>
      <w:r w:rsidRPr="00D3386D">
        <w:t>surrogate muscle balancing</w:t>
      </w:r>
    </w:p>
    <w:p w:rsidR="00000000" w:rsidRPr="00D3386D" w:rsidP="00D3386D">
      <w:pPr>
        <w:pStyle w:val="ListBullet2"/>
      </w:pPr>
      <w:r w:rsidRPr="00D3386D">
        <w:t>balancing unmonitorable muscles, tendons and ligaments</w:t>
      </w:r>
    </w:p>
    <w:p w:rsidR="00000000" w:rsidRPr="00D3386D" w:rsidP="00D3386D">
      <w:pPr>
        <w:pStyle w:val="ListBullet2"/>
      </w:pPr>
      <w:r w:rsidRPr="00D3386D">
        <w:t>muscle stretch</w:t>
      </w:r>
    </w:p>
    <w:p w:rsidR="00000000" w:rsidRPr="00D3386D" w:rsidP="00D3386D">
      <w:pPr>
        <w:pStyle w:val="ListBullet2"/>
      </w:pPr>
      <w:r w:rsidRPr="00D3386D">
        <w:t>repeated/sustained muscle imbalance</w:t>
      </w:r>
    </w:p>
    <w:p w:rsidR="00000000" w:rsidRPr="00D3386D" w:rsidP="00D3386D">
      <w:pPr>
        <w:pStyle w:val="ListBullet2"/>
      </w:pPr>
      <w:r w:rsidRPr="00D3386D">
        <w:t>reactive muscle patterns</w:t>
      </w:r>
    </w:p>
    <w:p w:rsidR="00000000" w:rsidRPr="00D3386D" w:rsidP="00D3386D">
      <w:pPr>
        <w:pStyle w:val="ListBullet"/>
      </w:pPr>
      <w:r w:rsidRPr="00D3386D">
        <w:t>structural balancing techniques, including:</w:t>
      </w:r>
    </w:p>
    <w:p w:rsidR="00000000" w:rsidRPr="00D3386D" w:rsidP="00D3386D">
      <w:pPr>
        <w:pStyle w:val="ListBullet2"/>
      </w:pPr>
      <w:r w:rsidRPr="00D3386D">
        <w:t>posture analysis balancing</w:t>
      </w:r>
    </w:p>
    <w:p w:rsidR="00000000" w:rsidRPr="00D3386D" w:rsidP="00D3386D">
      <w:pPr>
        <w:pStyle w:val="ListBullet2"/>
      </w:pPr>
      <w:r w:rsidRPr="00D3386D">
        <w:t>balancing regions of the physical body including the neck, lower back, upper back, pelvis, neck and jaw</w:t>
      </w:r>
    </w:p>
    <w:p w:rsidR="00000000" w:rsidRPr="00D3386D" w:rsidP="00D3386D">
      <w:pPr>
        <w:pStyle w:val="ListBullet2"/>
      </w:pPr>
      <w:r w:rsidRPr="00D3386D">
        <w:t>joints, including the knee, hip, shoulder and temporomandibular joints (TMJ)</w:t>
      </w:r>
    </w:p>
    <w:p w:rsidR="00000000" w:rsidRPr="00D3386D" w:rsidP="00D3386D">
      <w:pPr>
        <w:pStyle w:val="ListBullet2"/>
      </w:pPr>
      <w:r w:rsidRPr="00D3386D">
        <w:t xml:space="preserve">gait reflexes </w:t>
      </w:r>
    </w:p>
    <w:p w:rsidR="00000000" w:rsidRPr="00D3386D" w:rsidP="00D3386D">
      <w:pPr>
        <w:pStyle w:val="ListBullet2"/>
      </w:pPr>
      <w:r w:rsidRPr="00D3386D">
        <w:t xml:space="preserve">righting reflexes or cloacals </w:t>
      </w:r>
    </w:p>
    <w:p w:rsidR="00000000" w:rsidRPr="00D3386D" w:rsidP="00D3386D">
      <w:pPr>
        <w:pStyle w:val="ListBullet2"/>
      </w:pPr>
      <w:r w:rsidRPr="00D3386D">
        <w:t>cranial imbalances</w:t>
      </w:r>
    </w:p>
    <w:p w:rsidR="00000000" w:rsidRPr="00D3386D" w:rsidP="00D3386D">
      <w:pPr>
        <w:pStyle w:val="ListBullet2"/>
      </w:pPr>
      <w:r w:rsidRPr="00D3386D">
        <w:t>structural</w:t>
      </w:r>
      <w:r w:rsidRPr="00D3386D">
        <w:t xml:space="preserve"> deviations</w:t>
      </w:r>
    </w:p>
    <w:p w:rsidR="00000000" w:rsidRPr="00D3386D" w:rsidP="00D3386D">
      <w:pPr>
        <w:pStyle w:val="ListBullet"/>
      </w:pPr>
      <w:r w:rsidRPr="00D3386D">
        <w:t xml:space="preserve">neurological balancing techniques, including: </w:t>
      </w:r>
    </w:p>
    <w:p w:rsidR="00000000" w:rsidRPr="00D3386D" w:rsidP="00D3386D">
      <w:pPr>
        <w:pStyle w:val="ListBullet2"/>
      </w:pPr>
      <w:r w:rsidRPr="00D3386D">
        <w:t>central and governing meridian circuit</w:t>
      </w:r>
    </w:p>
    <w:p w:rsidR="00000000" w:rsidRPr="00D3386D" w:rsidP="00D3386D">
      <w:pPr>
        <w:pStyle w:val="ListBullet2"/>
      </w:pPr>
      <w:r w:rsidRPr="00D3386D">
        <w:t>neurological disorganisation</w:t>
      </w:r>
    </w:p>
    <w:p w:rsidR="00000000" w:rsidRPr="00D3386D" w:rsidP="00D3386D">
      <w:pPr>
        <w:pStyle w:val="ListBullet2"/>
      </w:pPr>
      <w:r w:rsidRPr="00D3386D">
        <w:t>cross crawl integration</w:t>
      </w:r>
    </w:p>
    <w:p w:rsidR="00000000" w:rsidRPr="00D3386D" w:rsidP="00D3386D">
      <w:pPr>
        <w:pStyle w:val="ListBullet2"/>
      </w:pPr>
      <w:r w:rsidRPr="00D3386D">
        <w:t>fight/flight survival responses</w:t>
      </w:r>
    </w:p>
    <w:p w:rsidR="00000000" w:rsidRPr="00D3386D" w:rsidP="00D3386D">
      <w:pPr>
        <w:pStyle w:val="ListBullet2"/>
      </w:pPr>
      <w:r w:rsidRPr="00D3386D">
        <w:t>neurological integration</w:t>
      </w:r>
    </w:p>
    <w:p w:rsidR="00000000" w:rsidRPr="00D3386D" w:rsidP="00D3386D">
      <w:pPr>
        <w:pStyle w:val="ListBullet"/>
      </w:pPr>
      <w:r w:rsidRPr="00D3386D">
        <w:t>emotional balancing techniques, including:</w:t>
      </w:r>
    </w:p>
    <w:p w:rsidR="00000000" w:rsidRPr="00D3386D" w:rsidP="00D3386D">
      <w:pPr>
        <w:pStyle w:val="ListBullet2"/>
      </w:pPr>
      <w:r w:rsidRPr="00D3386D">
        <w:t>emotional stress release</w:t>
      </w:r>
    </w:p>
    <w:p w:rsidR="00000000" w:rsidRPr="00D3386D" w:rsidP="00D3386D">
      <w:pPr>
        <w:pStyle w:val="ListBullet2"/>
      </w:pPr>
      <w:r w:rsidRPr="00D3386D">
        <w:t>emotional defusion techniques</w:t>
      </w:r>
    </w:p>
    <w:p w:rsidR="00000000" w:rsidRPr="00D3386D" w:rsidP="00D3386D">
      <w:pPr>
        <w:pStyle w:val="ListBullet2"/>
      </w:pPr>
      <w:r w:rsidRPr="00D3386D">
        <w:t>using lists of emotions</w:t>
      </w:r>
    </w:p>
    <w:p w:rsidR="00000000" w:rsidRPr="00D3386D" w:rsidP="00D3386D">
      <w:pPr>
        <w:pStyle w:val="ListBullet2"/>
      </w:pPr>
      <w:r w:rsidRPr="00D3386D">
        <w:t>visualisations/imagery</w:t>
      </w:r>
    </w:p>
    <w:p w:rsidR="00000000" w:rsidRPr="00D3386D" w:rsidP="00D3386D">
      <w:pPr>
        <w:pStyle w:val="ListBullet2"/>
      </w:pPr>
      <w:r w:rsidRPr="00D3386D">
        <w:t>psychological reversals</w:t>
      </w:r>
    </w:p>
    <w:p w:rsidR="00000000" w:rsidRPr="00D3386D" w:rsidP="00D3386D">
      <w:pPr>
        <w:pStyle w:val="ListBullet2"/>
      </w:pPr>
      <w:r w:rsidRPr="00D3386D">
        <w:t>addressing fears and phobias</w:t>
      </w:r>
    </w:p>
    <w:p w:rsidR="00000000" w:rsidRPr="00D3386D" w:rsidP="00D3386D">
      <w:pPr>
        <w:pStyle w:val="ListBullet"/>
      </w:pPr>
      <w:r w:rsidRPr="00D3386D">
        <w:t>vibrational balancing techniques, including:</w:t>
      </w:r>
    </w:p>
    <w:p w:rsidR="00000000" w:rsidRPr="00D3386D" w:rsidP="00D3386D">
      <w:pPr>
        <w:pStyle w:val="ListBullet2"/>
      </w:pPr>
      <w:r w:rsidRPr="00D3386D">
        <w:t>use of vibrational essences</w:t>
      </w:r>
    </w:p>
    <w:p w:rsidR="00000000" w:rsidRPr="00D3386D" w:rsidP="00D3386D">
      <w:pPr>
        <w:pStyle w:val="ListBullet2"/>
      </w:pPr>
      <w:r w:rsidRPr="00D3386D">
        <w:t>use of colour and sound in</w:t>
      </w:r>
      <w:r w:rsidRPr="00D3386D">
        <w:t xml:space="preserve"> balancing</w:t>
      </w:r>
    </w:p>
    <w:p w:rsidR="00000000" w:rsidRPr="00D3386D" w:rsidP="00D3386D">
      <w:pPr>
        <w:pStyle w:val="ListBullet2"/>
      </w:pPr>
      <w:r w:rsidRPr="00D3386D">
        <w:t>balancing the human subtle energy systems including the acupuncture meridian system, chakras, figure 8 energy flows and the aura</w:t>
      </w:r>
    </w:p>
    <w:p w:rsidR="00000000" w:rsidRPr="00D3386D" w:rsidP="00D3386D">
      <w:pPr>
        <w:pStyle w:val="ListBullet2"/>
      </w:pPr>
      <w:r w:rsidRPr="00D3386D">
        <w:t>balancing meridians and acupressure points including the use of the law of 5 elements</w:t>
      </w:r>
    </w:p>
    <w:p w:rsidR="00000000" w:rsidRPr="00D3386D" w:rsidP="00D3386D">
      <w:pPr>
        <w:pStyle w:val="ListBullet"/>
      </w:pPr>
      <w:r w:rsidRPr="00D3386D">
        <w:t>nutritional balancing techniq</w:t>
      </w:r>
      <w:r w:rsidRPr="00D3386D">
        <w:t>ues, including:</w:t>
      </w:r>
    </w:p>
    <w:p w:rsidR="00000000" w:rsidRPr="00D3386D" w:rsidP="00D3386D">
      <w:pPr>
        <w:pStyle w:val="ListBullet2"/>
      </w:pPr>
      <w:r w:rsidRPr="00D3386D">
        <w:t>food sensitivity monitoring</w:t>
      </w:r>
    </w:p>
    <w:p w:rsidR="00000000" w:rsidRPr="00D3386D" w:rsidP="00D3386D">
      <w:pPr>
        <w:pStyle w:val="ListBullet2"/>
      </w:pPr>
      <w:r w:rsidRPr="00D3386D">
        <w:t>food sensitivity/intolerance balancing</w:t>
      </w:r>
    </w:p>
    <w:p w:rsidR="00000000" w:rsidRPr="00D3386D" w:rsidP="00D3386D">
      <w:pPr>
        <w:pStyle w:val="ListBullet2"/>
      </w:pPr>
      <w:r w:rsidRPr="00D3386D">
        <w:t>balancing biochemical factors including hydration, dysglycemic, absorption of nutrients, and bioavailability of nutrients</w:t>
      </w:r>
    </w:p>
    <w:p w:rsidR="00000000" w:rsidRPr="00D3386D" w:rsidP="00D3386D">
      <w:pPr>
        <w:pStyle w:val="ListBullet2"/>
      </w:pPr>
      <w:r w:rsidRPr="00D3386D">
        <w:t>toxin elimination balancing</w:t>
      </w:r>
    </w:p>
    <w:p w:rsidR="00000000" w:rsidRPr="00D3386D" w:rsidP="00D3386D">
      <w:pPr>
        <w:pStyle w:val="ListBullet2"/>
      </w:pPr>
      <w:r w:rsidRPr="00D3386D">
        <w:t>balancing to support detoxification</w:t>
      </w:r>
    </w:p>
    <w:p w:rsidR="00000000" w:rsidRPr="00D3386D" w:rsidP="00D3386D">
      <w:pPr>
        <w:pStyle w:val="ListBullet2"/>
      </w:pPr>
      <w:r w:rsidRPr="00D3386D">
        <w:t>use of Riddler</w:t>
      </w:r>
      <w:r>
        <w:t>’</w:t>
      </w:r>
      <w:r w:rsidRPr="00D3386D">
        <w:t>s and nutritional points in balancing</w:t>
      </w:r>
    </w:p>
    <w:p w:rsidR="00000000" w:rsidRPr="00D3386D" w:rsidP="00D3386D">
      <w:pPr>
        <w:pStyle w:val="ListBullet2"/>
      </w:pPr>
      <w:r w:rsidRPr="00D3386D">
        <w:t>nutritional support and digestive disturbance balancing</w:t>
      </w:r>
    </w:p>
    <w:p w:rsidR="00000000" w:rsidRPr="00D3386D" w:rsidP="00D3386D">
      <w:pPr>
        <w:pStyle w:val="AllowPageBreak"/>
      </w:pPr>
    </w:p>
    <w:p w:rsidR="00000000" w:rsidRPr="00D3386D" w:rsidP="00D3386D">
      <w:pPr>
        <w:pStyle w:val="Heading1"/>
      </w:pPr>
      <w:bookmarkStart w:id="9" w:name="O_873282"/>
      <w:bookmarkEnd w:id="9"/>
      <w:r w:rsidRPr="00D3386D">
        <w:t>Knowledge Evidence</w:t>
      </w:r>
    </w:p>
    <w:p w:rsidR="00000000" w:rsidRPr="00D3386D" w:rsidP="00BC6447">
      <w:pPr>
        <w:pStyle w:val="BodyText"/>
      </w:pPr>
      <w:r w:rsidRPr="00D3386D">
        <w:t>The candidate must be able to demonstrate essential k</w:t>
      </w:r>
      <w:r w:rsidRPr="00D3386D">
        <w:t>nowledge required to effectively complete tasks outlined in elements and performance criteria of this unit, manage tasks and manage contingencies in the context of the work role. This includes knowledge of:</w:t>
      </w:r>
    </w:p>
    <w:p w:rsidR="00000000" w:rsidRPr="00D3386D" w:rsidP="00D3386D">
      <w:pPr>
        <w:pStyle w:val="ListBullet"/>
      </w:pPr>
      <w:r w:rsidRPr="00D3386D">
        <w:t>legal and ethical considerations (national and s</w:t>
      </w:r>
      <w:r w:rsidRPr="00D3386D">
        <w:t>tate/territory) for client balancing:</w:t>
      </w:r>
    </w:p>
    <w:p w:rsidR="00000000" w:rsidRPr="00D3386D" w:rsidP="00D3386D">
      <w:pPr>
        <w:pStyle w:val="ListBullet2"/>
      </w:pPr>
      <w:r w:rsidRPr="00D3386D">
        <w:t>codes of conduct</w:t>
      </w:r>
    </w:p>
    <w:p w:rsidR="00000000" w:rsidRPr="00D3386D" w:rsidP="00D3386D">
      <w:pPr>
        <w:pStyle w:val="ListBullet2"/>
      </w:pPr>
      <w:r w:rsidRPr="00D3386D">
        <w:t>duty of care</w:t>
      </w:r>
    </w:p>
    <w:p w:rsidR="00000000" w:rsidRPr="00D3386D" w:rsidP="00D3386D">
      <w:pPr>
        <w:pStyle w:val="ListBullet2"/>
      </w:pPr>
      <w:r w:rsidRPr="00D3386D">
        <w:t>informed consent</w:t>
      </w:r>
    </w:p>
    <w:p w:rsidR="00000000" w:rsidRPr="00D3386D" w:rsidP="00D3386D">
      <w:pPr>
        <w:pStyle w:val="ListBullet2"/>
      </w:pPr>
      <w:r w:rsidRPr="00D3386D">
        <w:t>mandatory reporting</w:t>
      </w:r>
    </w:p>
    <w:p w:rsidR="00000000" w:rsidRPr="00D3386D" w:rsidP="00D3386D">
      <w:pPr>
        <w:pStyle w:val="ListBullet2"/>
      </w:pPr>
      <w:r w:rsidRPr="00D3386D">
        <w:t xml:space="preserve">practitioner/client boundaries </w:t>
      </w:r>
    </w:p>
    <w:p w:rsidR="00000000" w:rsidRPr="00D3386D" w:rsidP="00D3386D">
      <w:pPr>
        <w:pStyle w:val="ListBullet2"/>
      </w:pPr>
      <w:r w:rsidRPr="00D3386D">
        <w:t>privacy, confidentiality and disclosure</w:t>
      </w:r>
    </w:p>
    <w:p w:rsidR="00000000" w:rsidRPr="00D3386D" w:rsidP="00D3386D">
      <w:pPr>
        <w:pStyle w:val="ListBullet2"/>
      </w:pPr>
      <w:r w:rsidRPr="00D3386D">
        <w:t>records management</w:t>
      </w:r>
    </w:p>
    <w:p w:rsidR="00000000" w:rsidRPr="00D3386D" w:rsidP="00D3386D">
      <w:pPr>
        <w:pStyle w:val="ListBullet2"/>
      </w:pPr>
      <w:r w:rsidRPr="00D3386D">
        <w:t>work role boundaries</w:t>
      </w:r>
    </w:p>
    <w:p w:rsidR="00000000" w:rsidRPr="00D3386D" w:rsidP="00D3386D">
      <w:pPr>
        <w:pStyle w:val="ListBullet2"/>
      </w:pPr>
      <w:r w:rsidRPr="00D3386D">
        <w:t>working within scope of practice</w:t>
      </w:r>
    </w:p>
    <w:p w:rsidR="00000000" w:rsidRPr="00D3386D" w:rsidP="00D3386D">
      <w:pPr>
        <w:pStyle w:val="ListBullet2"/>
      </w:pPr>
      <w:r w:rsidRPr="00D3386D">
        <w:t>presenting symptoms that require referral to a medical practitioner</w:t>
      </w:r>
    </w:p>
    <w:p w:rsidR="00000000" w:rsidRPr="00D3386D" w:rsidP="00D3386D">
      <w:pPr>
        <w:pStyle w:val="ListBullet2"/>
      </w:pPr>
      <w:r w:rsidRPr="00D3386D">
        <w:t>work health and safety</w:t>
      </w:r>
    </w:p>
    <w:p w:rsidR="00000000" w:rsidRPr="00D3386D" w:rsidP="00D3386D">
      <w:pPr>
        <w:pStyle w:val="ListBullet"/>
      </w:pPr>
      <w:r w:rsidRPr="00D3386D">
        <w:t xml:space="preserve">the innate healing capacities of the body </w:t>
      </w:r>
    </w:p>
    <w:p w:rsidR="00000000" w:rsidRPr="00D3386D" w:rsidP="00D3386D">
      <w:pPr>
        <w:pStyle w:val="ListBullet"/>
      </w:pPr>
      <w:r w:rsidRPr="00D3386D">
        <w:t>factors that may interfere with balancing:</w:t>
      </w:r>
    </w:p>
    <w:p w:rsidR="00000000" w:rsidRPr="00D3386D" w:rsidP="00D3386D">
      <w:pPr>
        <w:pStyle w:val="ListBullet2"/>
      </w:pPr>
      <w:r w:rsidRPr="00D3386D">
        <w:t>over-facilitation</w:t>
      </w:r>
    </w:p>
    <w:p w:rsidR="00000000" w:rsidRPr="00D3386D" w:rsidP="00D3386D">
      <w:pPr>
        <w:pStyle w:val="ListBullet2"/>
      </w:pPr>
      <w:r w:rsidRPr="00D3386D">
        <w:t>energy capacity and availability</w:t>
      </w:r>
    </w:p>
    <w:p w:rsidR="00000000" w:rsidRPr="00D3386D" w:rsidP="00D3386D">
      <w:pPr>
        <w:pStyle w:val="ListBullet2"/>
      </w:pPr>
      <w:r w:rsidRPr="00D3386D">
        <w:t>energy blockage</w:t>
      </w:r>
    </w:p>
    <w:p w:rsidR="00000000" w:rsidRPr="00D3386D" w:rsidP="00D3386D">
      <w:pPr>
        <w:pStyle w:val="ListBullet2"/>
      </w:pPr>
      <w:r w:rsidRPr="00D3386D">
        <w:t>suppression</w:t>
      </w:r>
    </w:p>
    <w:p w:rsidR="00000000" w:rsidRPr="00D3386D" w:rsidP="00D3386D">
      <w:pPr>
        <w:pStyle w:val="ListBullet2"/>
      </w:pPr>
      <w:r w:rsidRPr="00D3386D">
        <w:t>willingness to change</w:t>
      </w:r>
    </w:p>
    <w:p w:rsidR="00000000" w:rsidRPr="00D3386D" w:rsidP="00D3386D">
      <w:pPr>
        <w:pStyle w:val="ListBullet"/>
      </w:pPr>
      <w:r w:rsidRPr="00D3386D">
        <w:t>potential dangers for balancing, including dangers of placing food in the mouth during sensitivity testing</w:t>
      </w:r>
    </w:p>
    <w:p w:rsidR="00000000" w:rsidRPr="00D3386D" w:rsidP="00D3386D">
      <w:pPr>
        <w:pStyle w:val="ListBullet"/>
      </w:pPr>
      <w:r w:rsidRPr="00D3386D">
        <w:t>potential reactions during balancing and how to respond:</w:t>
      </w:r>
    </w:p>
    <w:p w:rsidR="00000000" w:rsidRPr="00D3386D" w:rsidP="00D3386D">
      <w:pPr>
        <w:pStyle w:val="ListBullet2"/>
      </w:pPr>
      <w:r w:rsidRPr="00D3386D">
        <w:t>discomfort</w:t>
      </w:r>
    </w:p>
    <w:p w:rsidR="00000000" w:rsidRPr="00D3386D" w:rsidP="00D3386D">
      <w:pPr>
        <w:pStyle w:val="ListBullet2"/>
      </w:pPr>
      <w:r w:rsidRPr="00D3386D">
        <w:t>emotional reactions</w:t>
      </w:r>
    </w:p>
    <w:p w:rsidR="00000000" w:rsidRPr="00D3386D" w:rsidP="00D3386D">
      <w:pPr>
        <w:pStyle w:val="ListBullet2"/>
      </w:pPr>
      <w:r w:rsidRPr="00D3386D">
        <w:t>feedback - verbal, tactil</w:t>
      </w:r>
      <w:r w:rsidRPr="00D3386D">
        <w:t>e, visual</w:t>
      </w:r>
    </w:p>
    <w:p w:rsidR="00000000" w:rsidRPr="00D3386D" w:rsidP="00D3386D">
      <w:pPr>
        <w:pStyle w:val="ListBullet2"/>
      </w:pPr>
      <w:r w:rsidRPr="00D3386D">
        <w:t>deep relaxation</w:t>
      </w:r>
    </w:p>
    <w:p w:rsidR="00000000" w:rsidRPr="00D3386D" w:rsidP="00D3386D">
      <w:pPr>
        <w:pStyle w:val="ListBullet2"/>
      </w:pPr>
      <w:r w:rsidRPr="00D3386D">
        <w:t>changes in body temperature</w:t>
      </w:r>
    </w:p>
    <w:p w:rsidR="00000000" w:rsidRPr="00D3386D" w:rsidP="00D3386D">
      <w:pPr>
        <w:pStyle w:val="ListBullet2"/>
      </w:pPr>
      <w:r w:rsidRPr="00D3386D">
        <w:t xml:space="preserve">healing crisis </w:t>
      </w:r>
    </w:p>
    <w:p w:rsidR="00000000" w:rsidRPr="00D3386D" w:rsidP="00D3386D">
      <w:pPr>
        <w:pStyle w:val="ListBullet"/>
      </w:pPr>
      <w:r w:rsidRPr="00D3386D">
        <w:t>methods of monitoring treatment progress, including:</w:t>
      </w:r>
    </w:p>
    <w:p w:rsidR="00000000" w:rsidRPr="00D3386D" w:rsidP="00D3386D">
      <w:pPr>
        <w:pStyle w:val="ListBullet2"/>
      </w:pPr>
      <w:r w:rsidRPr="00D3386D">
        <w:t>client feedback</w:t>
      </w:r>
    </w:p>
    <w:p w:rsidR="00000000" w:rsidRPr="00D3386D" w:rsidP="00D3386D">
      <w:pPr>
        <w:pStyle w:val="ListBullet2"/>
      </w:pPr>
      <w:r w:rsidRPr="00D3386D">
        <w:t>challenge correction/more mode</w:t>
      </w:r>
    </w:p>
    <w:p w:rsidR="00000000" w:rsidRPr="00D3386D" w:rsidP="00D3386D">
      <w:pPr>
        <w:pStyle w:val="ListBullet2"/>
      </w:pPr>
      <w:r w:rsidRPr="00D3386D">
        <w:t>re-assessment of original issues</w:t>
      </w:r>
    </w:p>
    <w:p w:rsidR="00000000" w:rsidRPr="00D3386D" w:rsidP="00D3386D">
      <w:pPr>
        <w:pStyle w:val="ListBullet"/>
      </w:pPr>
      <w:r w:rsidRPr="00D3386D">
        <w:t xml:space="preserve">types of reinforcement suggestions and resources that can be provided to clients for their use outside the clinical environment </w:t>
      </w:r>
    </w:p>
    <w:p w:rsidR="00000000" w:rsidRPr="00D3386D" w:rsidP="00D3386D">
      <w:pPr>
        <w:pStyle w:val="ListBullet"/>
      </w:pPr>
      <w:r w:rsidRPr="00D3386D">
        <w:t>ways to respond to barriers to progress within a kinesiology framework</w:t>
      </w:r>
    </w:p>
    <w:p w:rsidR="00000000" w:rsidRPr="00D3386D" w:rsidP="00D3386D">
      <w:pPr>
        <w:pStyle w:val="ListBullet"/>
      </w:pPr>
      <w:r w:rsidRPr="00D3386D">
        <w:t>muscle monitoring position and direction for at least 70</w:t>
      </w:r>
      <w:r w:rsidRPr="00D3386D">
        <w:t xml:space="preserve"> muscles, including:</w:t>
      </w:r>
    </w:p>
    <w:p w:rsidR="00000000" w:rsidRPr="00D3386D" w:rsidP="00D3386D">
      <w:pPr>
        <w:pStyle w:val="ListBullet2"/>
      </w:pPr>
      <w:r w:rsidRPr="00D3386D">
        <w:t>muscle origin</w:t>
      </w:r>
    </w:p>
    <w:p w:rsidR="00000000" w:rsidRPr="00D3386D" w:rsidP="00D3386D">
      <w:pPr>
        <w:pStyle w:val="ListBullet2"/>
      </w:pPr>
      <w:r w:rsidRPr="00D3386D">
        <w:t>insertion</w:t>
      </w:r>
    </w:p>
    <w:p w:rsidR="00000000" w:rsidRPr="00D3386D" w:rsidP="00D3386D">
      <w:pPr>
        <w:pStyle w:val="ListBullet2"/>
      </w:pPr>
      <w:r w:rsidRPr="00D3386D">
        <w:t>action</w:t>
      </w:r>
    </w:p>
    <w:p w:rsidR="00000000" w:rsidRPr="00D3386D" w:rsidP="00D3386D">
      <w:pPr>
        <w:pStyle w:val="ListBullet2"/>
      </w:pPr>
      <w:r w:rsidRPr="00D3386D">
        <w:t>contraction</w:t>
      </w:r>
    </w:p>
    <w:p w:rsidR="00000000" w:rsidRPr="00D3386D" w:rsidP="00D3386D">
      <w:pPr>
        <w:pStyle w:val="ListBullet2"/>
      </w:pPr>
      <w:r w:rsidRPr="00D3386D">
        <w:t>extension</w:t>
      </w:r>
    </w:p>
    <w:p w:rsidR="00000000" w:rsidRPr="00D3386D" w:rsidP="00D3386D">
      <w:pPr>
        <w:pStyle w:val="ListBullet2"/>
      </w:pPr>
      <w:r w:rsidRPr="00D3386D">
        <w:t>range and direction of test</w:t>
      </w:r>
    </w:p>
    <w:p w:rsidR="00000000" w:rsidRPr="00D3386D" w:rsidP="00D3386D">
      <w:pPr>
        <w:pStyle w:val="ListBullet"/>
      </w:pPr>
      <w:r w:rsidRPr="00D3386D">
        <w:t>general kinesiology techniques, why and how they are used:</w:t>
      </w:r>
    </w:p>
    <w:p w:rsidR="00000000" w:rsidRPr="00D3386D" w:rsidP="00D3386D">
      <w:pPr>
        <w:pStyle w:val="ListBullet2"/>
      </w:pPr>
      <w:r w:rsidRPr="00D3386D">
        <w:t>pre-checks for balancing: hydration, central and governing meridians, switching/overload</w:t>
      </w:r>
    </w:p>
    <w:p w:rsidR="00000000" w:rsidRPr="00D3386D" w:rsidP="00D3386D">
      <w:pPr>
        <w:pStyle w:val="ListBullet2"/>
      </w:pPr>
      <w:r w:rsidRPr="00D3386D">
        <w:t>stress statements, goals and affirmations, including reactive stress process</w:t>
      </w:r>
    </w:p>
    <w:p w:rsidR="00000000" w:rsidRPr="00D3386D" w:rsidP="00D3386D">
      <w:pPr>
        <w:pStyle w:val="ListBullet2"/>
      </w:pPr>
      <w:r w:rsidRPr="00D3386D">
        <w:t>use of scan lists</w:t>
      </w:r>
    </w:p>
    <w:p w:rsidR="00000000" w:rsidRPr="00D3386D" w:rsidP="00D3386D">
      <w:pPr>
        <w:pStyle w:val="ListBullet2"/>
      </w:pPr>
      <w:r w:rsidRPr="00D3386D">
        <w:t>age recession using muscle monitoring</w:t>
      </w:r>
    </w:p>
    <w:p w:rsidR="00000000" w:rsidRPr="00D3386D" w:rsidP="00D3386D">
      <w:pPr>
        <w:pStyle w:val="ListBullet2"/>
      </w:pPr>
      <w:r w:rsidRPr="00D3386D">
        <w:t>balancing via a surrogate</w:t>
      </w:r>
    </w:p>
    <w:p w:rsidR="00000000" w:rsidRPr="00D3386D" w:rsidP="00D3386D">
      <w:pPr>
        <w:pStyle w:val="ListBullet2"/>
      </w:pPr>
      <w:r w:rsidRPr="00D3386D">
        <w:t xml:space="preserve">polarity </w:t>
      </w:r>
    </w:p>
    <w:p w:rsidR="00000000" w:rsidRPr="00D3386D" w:rsidP="00D3386D">
      <w:pPr>
        <w:pStyle w:val="ListBullet"/>
      </w:pPr>
      <w:r w:rsidRPr="00D3386D">
        <w:t>specific muscle balancing techniques, why and how they are used:</w:t>
      </w:r>
    </w:p>
    <w:p w:rsidR="00000000" w:rsidRPr="00D3386D" w:rsidP="00D3386D">
      <w:pPr>
        <w:pStyle w:val="ListBullet2"/>
      </w:pPr>
      <w:r w:rsidRPr="00D3386D">
        <w:t>proprioception: spin</w:t>
      </w:r>
      <w:r w:rsidRPr="00D3386D">
        <w:t xml:space="preserve">dle cell mechanism and golgi tendon apparatus </w:t>
      </w:r>
    </w:p>
    <w:p w:rsidR="00000000" w:rsidRPr="00D3386D" w:rsidP="00D3386D">
      <w:pPr>
        <w:pStyle w:val="ListBullet2"/>
      </w:pPr>
      <w:r w:rsidRPr="00D3386D">
        <w:t>reflexes including:</w:t>
      </w:r>
    </w:p>
    <w:p w:rsidR="00000000" w:rsidRPr="00D3386D" w:rsidP="00D3386D">
      <w:pPr>
        <w:pStyle w:val="ListBullet3"/>
      </w:pPr>
      <w:r w:rsidRPr="00D3386D">
        <w:t>spinal</w:t>
      </w:r>
    </w:p>
    <w:p w:rsidR="00000000" w:rsidRPr="00D3386D" w:rsidP="00D3386D">
      <w:pPr>
        <w:pStyle w:val="ListBullet3"/>
      </w:pPr>
      <w:r w:rsidRPr="00D3386D">
        <w:t xml:space="preserve">neurolymphatic </w:t>
      </w:r>
    </w:p>
    <w:p w:rsidR="00000000" w:rsidRPr="00D3386D" w:rsidP="00D3386D">
      <w:pPr>
        <w:pStyle w:val="ListBullet3"/>
      </w:pPr>
      <w:r w:rsidRPr="00D3386D">
        <w:t>neurovascular</w:t>
      </w:r>
    </w:p>
    <w:p w:rsidR="00000000" w:rsidRPr="00D3386D" w:rsidP="00D3386D">
      <w:pPr>
        <w:pStyle w:val="ListBullet2"/>
      </w:pPr>
      <w:r w:rsidRPr="00D3386D">
        <w:t>surrogate muscle balancing</w:t>
      </w:r>
    </w:p>
    <w:p w:rsidR="00000000" w:rsidRPr="00D3386D" w:rsidP="00D3386D">
      <w:pPr>
        <w:pStyle w:val="ListBullet2"/>
      </w:pPr>
      <w:r w:rsidRPr="00D3386D">
        <w:t>balancing unmonitorable muscles, tendons and ligaments</w:t>
      </w:r>
    </w:p>
    <w:p w:rsidR="00000000" w:rsidRPr="00D3386D" w:rsidP="00D3386D">
      <w:pPr>
        <w:pStyle w:val="ListBullet2"/>
      </w:pPr>
      <w:r w:rsidRPr="00D3386D">
        <w:t>muscle stretch</w:t>
      </w:r>
    </w:p>
    <w:p w:rsidR="00000000" w:rsidRPr="00D3386D" w:rsidP="00D3386D">
      <w:pPr>
        <w:pStyle w:val="ListBullet2"/>
      </w:pPr>
      <w:r w:rsidRPr="00D3386D">
        <w:t>repeated/sustained muscle imbalance</w:t>
      </w:r>
    </w:p>
    <w:p w:rsidR="00000000" w:rsidRPr="00D3386D" w:rsidP="00D3386D">
      <w:pPr>
        <w:pStyle w:val="ListBullet2"/>
      </w:pPr>
      <w:r w:rsidRPr="00D3386D">
        <w:t>reactive muscle patterns</w:t>
      </w:r>
    </w:p>
    <w:p w:rsidR="00000000" w:rsidRPr="00D3386D" w:rsidP="00D3386D">
      <w:pPr>
        <w:pStyle w:val="ListBullet"/>
      </w:pPr>
      <w:r w:rsidRPr="00D3386D">
        <w:t>structural balancing techniques , why and how they are used, including:</w:t>
      </w:r>
    </w:p>
    <w:p w:rsidR="00000000" w:rsidRPr="00D3386D" w:rsidP="00D3386D">
      <w:pPr>
        <w:pStyle w:val="ListBullet2"/>
      </w:pPr>
      <w:r w:rsidRPr="00D3386D">
        <w:t xml:space="preserve">posture analysis balancing, </w:t>
      </w:r>
    </w:p>
    <w:p w:rsidR="00000000" w:rsidRPr="00D3386D" w:rsidP="00D3386D">
      <w:pPr>
        <w:pStyle w:val="ListBullet2"/>
      </w:pPr>
      <w:r w:rsidRPr="00D3386D">
        <w:t>balancing regions of the physical body including the neck, lower back, upper back, pelvis, neck and jaw</w:t>
      </w:r>
    </w:p>
    <w:p w:rsidR="00000000" w:rsidRPr="00D3386D" w:rsidP="00D3386D">
      <w:pPr>
        <w:pStyle w:val="ListBullet2"/>
      </w:pPr>
      <w:r w:rsidRPr="00D3386D">
        <w:t>joints, including the knee, hip, shoulder and TMJ</w:t>
      </w:r>
    </w:p>
    <w:p w:rsidR="00000000" w:rsidRPr="00D3386D" w:rsidP="00D3386D">
      <w:pPr>
        <w:pStyle w:val="ListBullet2"/>
      </w:pPr>
      <w:r w:rsidRPr="00D3386D">
        <w:t xml:space="preserve">gait reflexes </w:t>
      </w:r>
    </w:p>
    <w:p w:rsidR="00000000" w:rsidRPr="00D3386D" w:rsidP="00D3386D">
      <w:pPr>
        <w:pStyle w:val="ListBullet2"/>
      </w:pPr>
      <w:r w:rsidRPr="00D3386D">
        <w:t xml:space="preserve">righting reflexes or cloacals </w:t>
      </w:r>
    </w:p>
    <w:p w:rsidR="00000000" w:rsidRPr="00D3386D" w:rsidP="00D3386D">
      <w:pPr>
        <w:pStyle w:val="ListBullet2"/>
      </w:pPr>
      <w:r w:rsidRPr="00D3386D">
        <w:t>cranial imbalances</w:t>
      </w:r>
    </w:p>
    <w:p w:rsidR="00000000" w:rsidRPr="00D3386D" w:rsidP="00D3386D">
      <w:pPr>
        <w:pStyle w:val="ListBullet2"/>
      </w:pPr>
      <w:r w:rsidRPr="00D3386D">
        <w:t>structural deviations</w:t>
      </w:r>
    </w:p>
    <w:p w:rsidR="00000000" w:rsidRPr="00D3386D" w:rsidP="00D3386D">
      <w:pPr>
        <w:pStyle w:val="ListBullet"/>
      </w:pPr>
      <w:r w:rsidRPr="00D3386D">
        <w:t xml:space="preserve">neurological balancing techniques, why and how they are used, including: </w:t>
      </w:r>
    </w:p>
    <w:p w:rsidR="00000000" w:rsidRPr="00D3386D" w:rsidP="00D3386D">
      <w:pPr>
        <w:pStyle w:val="ListBullet2"/>
      </w:pPr>
      <w:r w:rsidRPr="00D3386D">
        <w:t>central and governing meridian circuit</w:t>
      </w:r>
    </w:p>
    <w:p w:rsidR="00000000" w:rsidRPr="00D3386D" w:rsidP="00D3386D">
      <w:pPr>
        <w:pStyle w:val="ListBullet2"/>
      </w:pPr>
      <w:r w:rsidRPr="00D3386D">
        <w:t>neur</w:t>
      </w:r>
      <w:r w:rsidRPr="00D3386D">
        <w:t>ological disorganisation</w:t>
      </w:r>
    </w:p>
    <w:p w:rsidR="00000000" w:rsidRPr="00D3386D" w:rsidP="00D3386D">
      <w:pPr>
        <w:pStyle w:val="ListBullet2"/>
      </w:pPr>
      <w:r w:rsidRPr="00D3386D">
        <w:t>cross crawl integration</w:t>
      </w:r>
    </w:p>
    <w:p w:rsidR="00000000" w:rsidRPr="00D3386D" w:rsidP="00D3386D">
      <w:pPr>
        <w:pStyle w:val="ListBullet2"/>
      </w:pPr>
      <w:r w:rsidRPr="00D3386D">
        <w:t>fight/flight survival responses</w:t>
      </w:r>
    </w:p>
    <w:p w:rsidR="00000000" w:rsidRPr="00D3386D" w:rsidP="00D3386D">
      <w:pPr>
        <w:pStyle w:val="ListBullet2"/>
      </w:pPr>
      <w:r w:rsidRPr="00D3386D">
        <w:t>neurological integration</w:t>
      </w:r>
    </w:p>
    <w:p w:rsidR="00000000" w:rsidRPr="00D3386D" w:rsidP="00D3386D">
      <w:pPr>
        <w:pStyle w:val="ListBullet"/>
      </w:pPr>
      <w:r w:rsidRPr="00D3386D">
        <w:t>emotional balancing techniques, why and how they are used, including:</w:t>
      </w:r>
    </w:p>
    <w:p w:rsidR="00000000" w:rsidRPr="00D3386D" w:rsidP="00D3386D">
      <w:pPr>
        <w:pStyle w:val="ListBullet2"/>
      </w:pPr>
      <w:r w:rsidRPr="00D3386D">
        <w:t>emotional stress release</w:t>
      </w:r>
    </w:p>
    <w:p w:rsidR="00000000" w:rsidRPr="00D3386D" w:rsidP="00D3386D">
      <w:pPr>
        <w:pStyle w:val="ListBullet2"/>
      </w:pPr>
      <w:r w:rsidRPr="00D3386D">
        <w:t>emotional defusion techniques</w:t>
      </w:r>
    </w:p>
    <w:p w:rsidR="00000000" w:rsidRPr="00D3386D" w:rsidP="00D3386D">
      <w:pPr>
        <w:pStyle w:val="ListBullet2"/>
      </w:pPr>
      <w:r w:rsidRPr="00D3386D">
        <w:t>using lists of emotions</w:t>
      </w:r>
    </w:p>
    <w:p w:rsidR="00000000" w:rsidRPr="00D3386D" w:rsidP="00D3386D">
      <w:pPr>
        <w:pStyle w:val="ListBullet2"/>
      </w:pPr>
      <w:r w:rsidRPr="00D3386D">
        <w:t>visualisations/imagery</w:t>
      </w:r>
    </w:p>
    <w:p w:rsidR="00000000" w:rsidRPr="00D3386D" w:rsidP="00D3386D">
      <w:pPr>
        <w:pStyle w:val="ListBullet2"/>
      </w:pPr>
      <w:r w:rsidRPr="00D3386D">
        <w:t>psychological reversals</w:t>
      </w:r>
    </w:p>
    <w:p w:rsidR="00000000" w:rsidRPr="00D3386D" w:rsidP="00D3386D">
      <w:pPr>
        <w:pStyle w:val="ListBullet2"/>
      </w:pPr>
      <w:r w:rsidRPr="00D3386D">
        <w:t>addressing fears and phobias</w:t>
      </w:r>
    </w:p>
    <w:p w:rsidR="00000000" w:rsidRPr="00D3386D" w:rsidP="00D3386D">
      <w:pPr>
        <w:pStyle w:val="ListBullet2"/>
      </w:pPr>
      <w:r w:rsidRPr="00D3386D">
        <w:t>emotional impact on physical structure</w:t>
      </w:r>
    </w:p>
    <w:p w:rsidR="00000000" w:rsidRPr="00D3386D" w:rsidP="00D3386D">
      <w:pPr>
        <w:pStyle w:val="ListBullet"/>
      </w:pPr>
      <w:r w:rsidRPr="00D3386D">
        <w:t>vibrational balancing techniques, why and how they are used, including:</w:t>
      </w:r>
    </w:p>
    <w:p w:rsidR="00000000" w:rsidRPr="00D3386D" w:rsidP="00D3386D">
      <w:pPr>
        <w:pStyle w:val="ListBullet2"/>
      </w:pPr>
      <w:r w:rsidRPr="00D3386D">
        <w:t>vibrational essences</w:t>
      </w:r>
    </w:p>
    <w:p w:rsidR="00000000" w:rsidRPr="00D3386D" w:rsidP="00D3386D">
      <w:pPr>
        <w:pStyle w:val="ListBullet2"/>
      </w:pPr>
      <w:r w:rsidRPr="00D3386D">
        <w:t>colour and sound in balancing</w:t>
      </w:r>
    </w:p>
    <w:p w:rsidR="00000000" w:rsidRPr="00D3386D" w:rsidP="00D3386D">
      <w:pPr>
        <w:pStyle w:val="ListBullet2"/>
      </w:pPr>
      <w:r w:rsidRPr="00D3386D">
        <w:t>balancing the h</w:t>
      </w:r>
      <w:r w:rsidRPr="00D3386D">
        <w:t>uman subtle energy systems including the acupuncture meridian system, chakras, figure 8 energy flows and the aura</w:t>
      </w:r>
    </w:p>
    <w:p w:rsidR="00000000" w:rsidRPr="00D3386D" w:rsidP="00D3386D">
      <w:pPr>
        <w:pStyle w:val="ListBullet2"/>
      </w:pPr>
      <w:r w:rsidRPr="00D3386D">
        <w:t>balancing meridians and acupressure points including the use of the law of 5 elements</w:t>
      </w:r>
    </w:p>
    <w:p w:rsidR="00000000" w:rsidRPr="00D3386D" w:rsidP="00D3386D">
      <w:pPr>
        <w:pStyle w:val="ListBullet"/>
      </w:pPr>
      <w:r w:rsidRPr="00D3386D">
        <w:t>nutritional balancing techniques, w</w:t>
      </w:r>
      <w:r w:rsidRPr="00D3386D">
        <w:t>hy and how they are used, including:</w:t>
      </w:r>
    </w:p>
    <w:p w:rsidR="00000000" w:rsidRPr="00D3386D" w:rsidP="00D3386D">
      <w:pPr>
        <w:pStyle w:val="ListBullet2"/>
      </w:pPr>
      <w:r w:rsidRPr="00D3386D">
        <w:t>food sensitivity monitoring</w:t>
      </w:r>
    </w:p>
    <w:p w:rsidR="00000000" w:rsidRPr="00D3386D" w:rsidP="00D3386D">
      <w:pPr>
        <w:pStyle w:val="ListBullet2"/>
      </w:pPr>
      <w:r w:rsidRPr="00D3386D">
        <w:t>food sensitivity/intolerance balancing</w:t>
      </w:r>
    </w:p>
    <w:p w:rsidR="00000000" w:rsidRPr="00D3386D" w:rsidP="00D3386D">
      <w:pPr>
        <w:pStyle w:val="ListBullet2"/>
      </w:pPr>
      <w:r w:rsidRPr="00D3386D">
        <w:t>balancing biochemical factors including hydration, dysglycemic, absorption of nutrients, and bioavailability of nutrients</w:t>
      </w:r>
    </w:p>
    <w:p w:rsidR="00000000" w:rsidRPr="00D3386D" w:rsidP="00D3386D">
      <w:pPr>
        <w:pStyle w:val="ListBullet2"/>
      </w:pPr>
      <w:r w:rsidRPr="00D3386D">
        <w:t>toxin elimination balancing</w:t>
      </w:r>
    </w:p>
    <w:p w:rsidR="00000000" w:rsidRPr="00D3386D" w:rsidP="00D3386D">
      <w:pPr>
        <w:pStyle w:val="ListBullet2"/>
      </w:pPr>
      <w:r w:rsidRPr="00D3386D">
        <w:t>b</w:t>
      </w:r>
      <w:r w:rsidRPr="00D3386D">
        <w:t>alancing to support detoxification</w:t>
      </w:r>
    </w:p>
    <w:p w:rsidR="00000000" w:rsidRPr="00D3386D" w:rsidP="00D3386D">
      <w:pPr>
        <w:pStyle w:val="ListBullet2"/>
      </w:pPr>
      <w:r w:rsidRPr="00D3386D">
        <w:t>use of Riddler</w:t>
      </w:r>
      <w:r>
        <w:t>’</w:t>
      </w:r>
      <w:r w:rsidRPr="00D3386D">
        <w:t>s and nutritional points in balancing</w:t>
      </w:r>
    </w:p>
    <w:p w:rsidR="00000000" w:rsidRPr="00D3386D" w:rsidP="00D3386D">
      <w:pPr>
        <w:pStyle w:val="ListBullet2"/>
      </w:pPr>
      <w:r w:rsidRPr="00D3386D">
        <w:t>nutritional support and digestive disturbance balancing</w:t>
      </w:r>
    </w:p>
    <w:p w:rsidR="00000000" w:rsidRPr="00D3386D" w:rsidP="00D3386D">
      <w:pPr>
        <w:pStyle w:val="ListBullet"/>
      </w:pPr>
      <w:r w:rsidRPr="00D3386D">
        <w:t>cautious considerations of current supplementation</w:t>
      </w:r>
    </w:p>
    <w:p w:rsidR="00000000" w:rsidRPr="00D3386D" w:rsidP="00D3386D">
      <w:pPr>
        <w:pStyle w:val="ListBullet"/>
      </w:pPr>
      <w:r w:rsidRPr="00D3386D">
        <w:t>boundaries of a kinesiologist’s role in relation to nutritio</w:t>
      </w:r>
      <w:r w:rsidRPr="00D3386D">
        <w:t>n</w:t>
      </w:r>
    </w:p>
    <w:p w:rsidR="00000000" w:rsidRPr="00D3386D" w:rsidP="00D3386D">
      <w:pPr>
        <w:pStyle w:val="ListBullet"/>
      </w:pPr>
      <w:r w:rsidRPr="00D3386D">
        <w:t>need for referral to dietician, herbalist, naturopath, or homeopath</w:t>
      </w:r>
    </w:p>
    <w:p w:rsidR="00000000" w:rsidRPr="00D3386D" w:rsidP="00D3386D">
      <w:pPr>
        <w:pStyle w:val="AllowPageBreak"/>
      </w:pPr>
    </w:p>
    <w:p w:rsidR="00000000" w:rsidRPr="00D3386D" w:rsidP="00D3386D">
      <w:pPr>
        <w:pStyle w:val="Heading1"/>
      </w:pPr>
      <w:bookmarkStart w:id="10" w:name="O_873281"/>
      <w:bookmarkEnd w:id="10"/>
      <w:r w:rsidRPr="00D3386D">
        <w:t>Assessment Conditions</w:t>
      </w:r>
    </w:p>
    <w:p w:rsidR="00000000" w:rsidRPr="00D3386D" w:rsidP="00BC6447">
      <w:pPr>
        <w:pStyle w:val="BodyText"/>
      </w:pPr>
      <w:r w:rsidRPr="00D3386D">
        <w:t xml:space="preserve">Skills must have been demonstrated in the workplace or in a simulated clinical environment that reflects workplace conditions. The following conditions must be met for this unit: </w:t>
      </w:r>
    </w:p>
    <w:p w:rsidR="00000000" w:rsidRPr="00D3386D" w:rsidP="00D3386D">
      <w:pPr>
        <w:pStyle w:val="ListBullet"/>
      </w:pPr>
      <w:r w:rsidRPr="00D3386D">
        <w:t xml:space="preserve">use of suitable facilities, equipment and resources, including: </w:t>
      </w:r>
    </w:p>
    <w:p w:rsidR="00000000" w:rsidRPr="00D3386D" w:rsidP="00D3386D">
      <w:pPr>
        <w:pStyle w:val="ListBullet2"/>
      </w:pPr>
      <w:r w:rsidRPr="00D3386D">
        <w:t>client in</w:t>
      </w:r>
      <w:r w:rsidRPr="00D3386D">
        <w:t>formation – case history, treatment plan</w:t>
      </w:r>
    </w:p>
    <w:p w:rsidR="00000000" w:rsidRPr="00D3386D" w:rsidP="00D3386D">
      <w:pPr>
        <w:pStyle w:val="ListBullet2"/>
      </w:pPr>
      <w:r w:rsidRPr="00D3386D">
        <w:t>private consultation area</w:t>
      </w:r>
    </w:p>
    <w:p w:rsidR="00000000" w:rsidRPr="00D3386D" w:rsidP="00D3386D">
      <w:pPr>
        <w:pStyle w:val="ListBullet2"/>
      </w:pPr>
      <w:r w:rsidRPr="00D3386D">
        <w:t>massage/table and chair</w:t>
      </w:r>
    </w:p>
    <w:p w:rsidR="00000000" w:rsidRPr="00D3386D" w:rsidP="00D3386D">
      <w:pPr>
        <w:pStyle w:val="ListBullet2"/>
      </w:pPr>
      <w:r w:rsidRPr="00D3386D">
        <w:t>reference manual</w:t>
      </w:r>
    </w:p>
    <w:p w:rsidR="00000000" w:rsidRPr="00D3386D" w:rsidP="00D3386D">
      <w:pPr>
        <w:pStyle w:val="ListBullet2"/>
      </w:pPr>
      <w:r w:rsidRPr="00D3386D">
        <w:t>hand sanitiser and/or hot running water for washing hands</w:t>
      </w:r>
    </w:p>
    <w:p w:rsidR="00000000" w:rsidRPr="00D3386D" w:rsidP="00D3386D">
      <w:pPr>
        <w:pStyle w:val="ListBullet"/>
      </w:pPr>
      <w:r w:rsidRPr="00D3386D">
        <w:t>modelling of industry operating conditions, including provision of services to the genera</w:t>
      </w:r>
      <w:r w:rsidRPr="00D3386D">
        <w:t xml:space="preserve">l public </w:t>
      </w:r>
    </w:p>
    <w:p w:rsidR="00000000" w:rsidRPr="00D3386D" w:rsidP="00D3386D">
      <w:pPr>
        <w:pStyle w:val="ListBullet"/>
      </w:pPr>
      <w:r w:rsidRPr="00D3386D">
        <w:t>clinic supervision by a person who meets the assessor requirements outlined below for at least 50 of the 200 hours of client consultations. The remaining 150 hours may be completed under the guidance of a mentor. The mentor must either meet the a</w:t>
      </w:r>
      <w:r w:rsidRPr="00D3386D">
        <w:t xml:space="preserve">ssessor requirements outlined below or be registered with an Australian professional body that represents kinesiologists as a mentor. </w:t>
      </w:r>
    </w:p>
    <w:p w:rsidR="00000000" w:rsidRPr="00D3386D" w:rsidP="00D3386D">
      <w:pPr>
        <w:pStyle w:val="BodyText"/>
      </w:pPr>
    </w:p>
    <w:p w:rsidR="00000000" w:rsidRPr="00D3386D" w:rsidP="00BC6447">
      <w:pPr>
        <w:pStyle w:val="BodyText"/>
      </w:pPr>
      <w:r w:rsidRPr="00D3386D">
        <w:t>Assessors must satisfy the Standards for Registered Training Organisations (RTOs) 2015/AQTF mandatory competency require</w:t>
      </w:r>
      <w:r w:rsidRPr="00D3386D">
        <w:t>ments for assessors.</w:t>
      </w:r>
    </w:p>
    <w:p w:rsidR="00000000" w:rsidRPr="00D3386D" w:rsidP="00BC6447">
      <w:pPr>
        <w:pStyle w:val="BodyText"/>
      </w:pPr>
      <w:r w:rsidRPr="00D3386D">
        <w:t>In addition, assessors must:</w:t>
      </w:r>
    </w:p>
    <w:p w:rsidR="00000000" w:rsidRPr="00D3386D" w:rsidP="00D3386D">
      <w:pPr>
        <w:pStyle w:val="ListBullet"/>
      </w:pPr>
      <w:r w:rsidRPr="00D3386D">
        <w:t xml:space="preserve">have at least 2 years current clinical experience working as a kinesiologist providing services to the general public </w:t>
      </w:r>
    </w:p>
    <w:p w:rsidR="00000000" w:rsidRPr="00D3386D" w:rsidP="00D3386D">
      <w:pPr>
        <w:pStyle w:val="ListBullet"/>
      </w:pPr>
      <w:r w:rsidRPr="00D3386D">
        <w:t>hold practising membership of an Australian professional body that represents kinesiologists</w:t>
      </w:r>
    </w:p>
    <w:p w:rsidR="00000000" w:rsidRPr="00D3386D" w:rsidP="00D3386D">
      <w:pPr>
        <w:pStyle w:val="ListBullet"/>
      </w:pPr>
      <w:r w:rsidRPr="00D3386D">
        <w:t>fulfil the continuing professional development requirements of the professional body to which they belong</w:t>
      </w:r>
    </w:p>
    <w:p w:rsidR="00000000" w:rsidRPr="00D3386D" w:rsidP="00D3386D">
      <w:pPr>
        <w:pStyle w:val="AllowPageBreak"/>
      </w:pPr>
    </w:p>
    <w:p w:rsidR="00000000" w:rsidRPr="00D3386D" w:rsidP="00D3386D">
      <w:pPr>
        <w:pStyle w:val="Heading1"/>
      </w:pPr>
      <w:bookmarkStart w:id="11" w:name="O_873292"/>
      <w:bookmarkEnd w:id="11"/>
      <w:r w:rsidRPr="00D3386D">
        <w:t>Links</w:t>
      </w:r>
    </w:p>
    <w:p w:rsidR="00000000" w:rsidRPr="00D3386D" w:rsidP="00BC6447">
      <w:pPr>
        <w:pStyle w:val="BodyText"/>
      </w:pPr>
      <w:r w:rsidRPr="00D3386D">
        <w:t>Companion Volume implementation gu</w:t>
      </w:r>
      <w:r w:rsidRPr="00D3386D">
        <w:t xml:space="preserve">ides are found in VETNet - </w:t>
      </w:r>
      <w:r>
        <w:fldChar w:fldCharType="begin"/>
      </w:r>
      <w:r>
        <w:instrText xml:space="preserve"> HYPERLINK "https://vetnet.gov.au/Pages/TrainingDocs.aspx?q=ced1390f-48d9-4ab0-bd50-b015e5485705" </w:instrText>
      </w:r>
      <w:r>
        <w:fldChar w:fldCharType="separate"/>
      </w:r>
      <w:r w:rsidRPr="00885D89">
        <w:rPr>
          <w:rStyle w:val="Hyperlink"/>
        </w:rPr>
        <w:t>https://vetnet.gov.au/Pages/TrainingDocs.aspx?q=ced1390f-48d9-4ab0-bd50-b015e5485705</w:t>
      </w:r>
      <w:r>
        <w:fldChar w:fldCharType="end"/>
      </w:r>
    </w:p>
    <w:p w:rsidR="00000000" w:rsidRPr="00D3386D" w:rsidP="00D3386D"/>
    <w:sectPr w:rsidSect="00D3386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4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447">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4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447" w:rsidP="00D338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BC6447" w:rsidP="00D3386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BC6447" w:rsidP="00D3386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86D" w:rsidP="00D3386D">
    <w:pPr>
      <w:pStyle w:val="Footer"/>
      <w:framePr w:wrap="around"/>
    </w:pPr>
    <w:r>
      <w:fldChar w:fldCharType="begin"/>
    </w:r>
    <w:r>
      <w:instrText xml:space="preserve"> DOCPROPERTY  Subject  \* MERGEFORMAT </w:instrText>
    </w:r>
    <w:r>
      <w:fldChar w:fldCharType="separate"/>
    </w:r>
    <w:r w:rsidR="00BC6447">
      <w:t>Approved</w:t>
    </w:r>
    <w:r w:rsidR="00BC6447">
      <w:fldChar w:fldCharType="end"/>
    </w:r>
    <w:r>
      <w:tab/>
      <w:t xml:space="preserve">Page </w:t>
    </w:r>
    <w:r>
      <w:fldChar w:fldCharType="begin"/>
    </w:r>
    <w:r>
      <w:instrText xml:space="preserve"> PAGE  \* Arabic  \* MERGEFORMAT </w:instrText>
    </w:r>
    <w:r>
      <w:fldChar w:fldCharType="separate"/>
    </w:r>
    <w:r w:rsidR="00BC6447">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C6447">
      <w:rPr>
        <w:noProof/>
      </w:rPr>
      <w:t>7</w:t>
    </w:r>
    <w:r>
      <w:rPr>
        <w:noProof/>
      </w:rPr>
      <w:fldChar w:fldCharType="end"/>
    </w:r>
  </w:p>
  <w:p w:rsidR="00D3386D" w:rsidP="00D3386D">
    <w:pPr>
      <w:pStyle w:val="Footer"/>
      <w:framePr w:wrap="around"/>
    </w:pPr>
    <w:r>
      <w:t xml:space="preserve">© Commonwealth of Australia, </w:t>
    </w:r>
    <w:r>
      <w:fldChar w:fldCharType="begin"/>
    </w:r>
    <w:r>
      <w:instrText xml:space="preserve"> DATE  \@ "yyyy"  \* MERGEFORMAT </w:instrText>
    </w:r>
    <w:r>
      <w:fldChar w:fldCharType="separate"/>
    </w:r>
    <w:r w:rsidR="00BC6447">
      <w:rPr>
        <w:noProof/>
      </w:rPr>
      <w:t>2025</w:t>
    </w:r>
    <w:r>
      <w:fldChar w:fldCharType="end"/>
    </w:r>
    <w:r>
      <w:tab/>
    </w:r>
    <w:r>
      <w:fldChar w:fldCharType="begin"/>
    </w:r>
    <w:r>
      <w:instrText xml:space="preserve"> DOCPROPERTY  Author  \* MERGEFORMAT </w:instrText>
    </w:r>
    <w:r>
      <w:fldChar w:fldCharType="separate"/>
    </w:r>
    <w:r w:rsidR="00BC6447">
      <w:t>HumanAbility</w:t>
    </w:r>
    <w:r w:rsidR="00BC6447">
      <w:fldChar w:fldCharType="end"/>
    </w:r>
  </w:p>
  <w:p w:rsidR="00D3386D" w:rsidP="00D338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4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4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386D" w:rsidRPr="00BC6447" w:rsidP="00BC64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4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447" w:rsidRPr="002D2AF8" w:rsidP="00D3386D">
    <w:pPr>
      <w:pStyle w:val="Header"/>
      <w:framePr w:wrap="around"/>
    </w:pPr>
    <w:r>
      <w:fldChar w:fldCharType="begin"/>
    </w:r>
    <w:r>
      <w:instrText xml:space="preserve"> TITLE   \* MERGEFORMAT </w:instrText>
    </w:r>
    <w:r>
      <w:fldChar w:fldCharType="separate"/>
    </w:r>
    <w:r>
      <w:t>HLTKIN004 Provide kinesiology balances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C6447" w:rsidP="00D3386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86D" w:rsidRPr="002D2AF8" w:rsidP="00D3386D">
    <w:pPr>
      <w:pStyle w:val="Header"/>
      <w:framePr w:wrap="around"/>
    </w:pPr>
    <w:r>
      <w:fldChar w:fldCharType="begin"/>
    </w:r>
    <w:r>
      <w:instrText xml:space="preserve"> TITLE   \* MERGEFORMAT </w:instrText>
    </w:r>
    <w:r>
      <w:fldChar w:fldCharType="separate"/>
    </w:r>
    <w:r w:rsidR="00BC6447">
      <w:t>HLTKIN004 Provide kinesiology balances</w:t>
    </w:r>
    <w:r w:rsidR="00BC6447">
      <w:fldChar w:fldCharType="end"/>
    </w:r>
    <w:r>
      <w:tab/>
      <w:t xml:space="preserve">Date this document was generated: </w:t>
    </w:r>
    <w:r>
      <w:fldChar w:fldCharType="begin"/>
    </w:r>
    <w:r>
      <w:instrText xml:space="preserve"> CREATEDATE  \@ "d MMMM yyyy"  \* MERGEFORMAT </w:instrText>
    </w:r>
    <w:r>
      <w:fldChar w:fldCharType="separate"/>
    </w:r>
    <w:r w:rsidR="00BC6447">
      <w:rPr>
        <w:noProof/>
      </w:rPr>
      <w:t>2 March 2025</w:t>
    </w:r>
    <w:r>
      <w:fldChar w:fldCharType="end"/>
    </w:r>
  </w:p>
  <w:p w:rsidR="00D3386D" w:rsidP="00D338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E4AD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5806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9006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38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386D"/>
    <w:pPr>
      <w:spacing w:before="360" w:after="60"/>
      <w:outlineLvl w:val="0"/>
    </w:pPr>
    <w:rPr>
      <w:sz w:val="32"/>
    </w:rPr>
  </w:style>
  <w:style w:type="paragraph" w:styleId="Heading2">
    <w:name w:val="heading 2"/>
    <w:basedOn w:val="HeadingBase"/>
    <w:next w:val="BodyText"/>
    <w:link w:val="Heading2Char"/>
    <w:qFormat/>
    <w:rsid w:val="00D3386D"/>
    <w:pPr>
      <w:keepLines/>
      <w:spacing w:before="240" w:after="120"/>
      <w:outlineLvl w:val="1"/>
    </w:pPr>
    <w:rPr>
      <w:sz w:val="28"/>
      <w:szCs w:val="40"/>
    </w:rPr>
  </w:style>
  <w:style w:type="paragraph" w:styleId="Heading3">
    <w:name w:val="heading 3"/>
    <w:basedOn w:val="HeadingBase"/>
    <w:next w:val="BodyText"/>
    <w:link w:val="Heading3Char"/>
    <w:qFormat/>
    <w:rsid w:val="00D3386D"/>
    <w:pPr>
      <w:spacing w:before="180" w:after="120"/>
      <w:outlineLvl w:val="2"/>
    </w:pPr>
    <w:rPr>
      <w:spacing w:val="-10"/>
      <w:kern w:val="32"/>
    </w:rPr>
  </w:style>
  <w:style w:type="paragraph" w:styleId="Heading4">
    <w:name w:val="heading 4"/>
    <w:basedOn w:val="HeadingBase"/>
    <w:next w:val="BodyText"/>
    <w:link w:val="Heading4Char"/>
    <w:qFormat/>
    <w:rsid w:val="00D3386D"/>
    <w:pPr>
      <w:spacing w:before="160" w:after="120"/>
      <w:outlineLvl w:val="3"/>
    </w:pPr>
    <w:rPr>
      <w:sz w:val="22"/>
    </w:rPr>
  </w:style>
  <w:style w:type="paragraph" w:styleId="Heading5">
    <w:name w:val="heading 5"/>
    <w:basedOn w:val="HeadingBase"/>
    <w:next w:val="Normal"/>
    <w:link w:val="Heading5Char"/>
    <w:qFormat/>
    <w:rsid w:val="00D3386D"/>
    <w:pPr>
      <w:spacing w:before="80"/>
      <w:outlineLvl w:val="4"/>
    </w:pPr>
    <w:rPr>
      <w:color w:val="918585"/>
      <w:sz w:val="20"/>
    </w:rPr>
  </w:style>
  <w:style w:type="paragraph" w:styleId="Heading6">
    <w:name w:val="heading 6"/>
    <w:basedOn w:val="HeadingBase"/>
    <w:next w:val="Normal"/>
    <w:link w:val="Heading6Char"/>
    <w:qFormat/>
    <w:rsid w:val="00D3386D"/>
    <w:pPr>
      <w:spacing w:before="60"/>
      <w:outlineLvl w:val="5"/>
    </w:pPr>
    <w:rPr>
      <w:color w:val="918585"/>
      <w:sz w:val="20"/>
    </w:rPr>
  </w:style>
  <w:style w:type="paragraph" w:styleId="Heading7">
    <w:name w:val="heading 7"/>
    <w:basedOn w:val="Normal"/>
    <w:next w:val="Normal"/>
    <w:link w:val="Heading7Char"/>
    <w:qFormat/>
    <w:rsid w:val="00D3386D"/>
    <w:pPr>
      <w:ind w:left="720"/>
      <w:outlineLvl w:val="6"/>
    </w:pPr>
    <w:rPr>
      <w:i/>
    </w:rPr>
  </w:style>
  <w:style w:type="paragraph" w:styleId="Heading8">
    <w:name w:val="heading 8"/>
    <w:basedOn w:val="Normal"/>
    <w:next w:val="Normal"/>
    <w:link w:val="Heading8Char"/>
    <w:qFormat/>
    <w:rsid w:val="00D3386D"/>
    <w:pPr>
      <w:ind w:left="720"/>
      <w:outlineLvl w:val="7"/>
    </w:pPr>
    <w:rPr>
      <w:i/>
    </w:rPr>
  </w:style>
  <w:style w:type="paragraph" w:styleId="Heading9">
    <w:name w:val="heading 9"/>
    <w:basedOn w:val="Normal"/>
    <w:next w:val="Normal"/>
    <w:link w:val="Heading9Char"/>
    <w:qFormat/>
    <w:rsid w:val="00D3386D"/>
    <w:pPr>
      <w:ind w:left="720"/>
      <w:outlineLvl w:val="8"/>
    </w:pPr>
    <w:rPr>
      <w:i/>
    </w:rPr>
  </w:style>
  <w:style w:type="character" w:default="1" w:styleId="DefaultParagraphFont">
    <w:name w:val="Default Paragraph Font"/>
    <w:uiPriority w:val="1"/>
    <w:unhideWhenUsed/>
    <w:rsid w:val="00D338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386D"/>
  </w:style>
  <w:style w:type="character" w:customStyle="1" w:styleId="Heading1Char">
    <w:name w:val="Heading 1 Char"/>
    <w:basedOn w:val="DefaultParagraphFont"/>
    <w:link w:val="Heading1"/>
    <w:rsid w:val="00D3386D"/>
    <w:rPr>
      <w:rFonts w:ascii="Times New Roman" w:eastAsia="Times New Roman" w:hAnsi="Times New Roman" w:cs="Times New Roman"/>
      <w:b/>
      <w:sz w:val="32"/>
      <w:szCs w:val="20"/>
      <w:lang w:eastAsia="en-US"/>
    </w:rPr>
  </w:style>
  <w:style w:type="paragraph" w:styleId="BodyText">
    <w:name w:val="Body Text"/>
    <w:basedOn w:val="Normal"/>
    <w:link w:val="BodyTextChar"/>
    <w:rsid w:val="00D338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386D"/>
    <w:rPr>
      <w:rFonts w:ascii="Times New Roman" w:eastAsia="Times New Roman" w:hAnsi="Times New Roman" w:cs="Times New Roman"/>
      <w:sz w:val="24"/>
      <w:lang w:eastAsia="en-US"/>
    </w:rPr>
  </w:style>
  <w:style w:type="paragraph" w:styleId="ListBullet">
    <w:name w:val="List Bullet"/>
    <w:basedOn w:val="List"/>
    <w:rsid w:val="00D3386D"/>
    <w:pPr>
      <w:numPr>
        <w:numId w:val="13"/>
      </w:numPr>
      <w:tabs>
        <w:tab w:val="clear" w:pos="340"/>
      </w:tabs>
      <w:spacing w:before="40" w:after="40"/>
    </w:pPr>
  </w:style>
  <w:style w:type="character" w:customStyle="1" w:styleId="SpecialBold">
    <w:name w:val="Special Bold"/>
    <w:basedOn w:val="DefaultParagraphFont"/>
    <w:rsid w:val="00D3386D"/>
    <w:rPr>
      <w:b/>
      <w:spacing w:val="0"/>
    </w:rPr>
  </w:style>
  <w:style w:type="paragraph" w:styleId="ListBullet2">
    <w:name w:val="List Bullet 2"/>
    <w:basedOn w:val="List2"/>
    <w:rsid w:val="00D3386D"/>
    <w:pPr>
      <w:numPr>
        <w:numId w:val="14"/>
      </w:numPr>
      <w:tabs>
        <w:tab w:val="clear" w:pos="680"/>
      </w:tabs>
    </w:pPr>
  </w:style>
  <w:style w:type="character" w:styleId="Emphasis">
    <w:name w:val="Emphasis"/>
    <w:basedOn w:val="DefaultParagraphFont"/>
    <w:qFormat/>
    <w:rsid w:val="00D3386D"/>
    <w:rPr>
      <w:i/>
    </w:rPr>
  </w:style>
  <w:style w:type="paragraph" w:customStyle="1" w:styleId="SuperHeading">
    <w:name w:val="SuperHeading"/>
    <w:basedOn w:val="Normal"/>
    <w:rsid w:val="00D3386D"/>
    <w:pPr>
      <w:spacing w:before="240" w:after="120"/>
      <w:outlineLvl w:val="0"/>
    </w:pPr>
    <w:rPr>
      <w:rFonts w:ascii="Times New Roman" w:hAnsi="Times New Roman"/>
      <w:b/>
      <w:sz w:val="32"/>
    </w:rPr>
  </w:style>
  <w:style w:type="paragraph" w:customStyle="1" w:styleId="AllowPageBreak">
    <w:name w:val="AllowPageBreak"/>
    <w:rsid w:val="00D3386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3386D"/>
    <w:pPr>
      <w:numPr>
        <w:numId w:val="3"/>
      </w:numPr>
      <w:tabs>
        <w:tab w:val="clear" w:pos="1021"/>
      </w:tabs>
      <w:ind w:left="1037" w:hanging="357"/>
    </w:pPr>
  </w:style>
  <w:style w:type="character" w:customStyle="1" w:styleId="Heading2Char">
    <w:name w:val="Heading 2 Char"/>
    <w:basedOn w:val="DefaultParagraphFont"/>
    <w:link w:val="Heading2"/>
    <w:rsid w:val="00D338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38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38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38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38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38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38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386D"/>
    <w:rPr>
      <w:rFonts w:ascii="Courier New" w:eastAsia="Times New Roman" w:hAnsi="Courier New" w:cs="Times New Roman"/>
      <w:i/>
      <w:szCs w:val="20"/>
      <w:lang w:eastAsia="en-US"/>
    </w:rPr>
  </w:style>
  <w:style w:type="paragraph" w:customStyle="1" w:styleId="HeadingBase">
    <w:name w:val="Heading Base"/>
    <w:rsid w:val="00D338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386D"/>
    <w:pPr>
      <w:tabs>
        <w:tab w:val="right" w:leader="dot" w:pos="9072"/>
      </w:tabs>
      <w:ind w:left="567"/>
    </w:pPr>
    <w:rPr>
      <w:szCs w:val="22"/>
    </w:rPr>
  </w:style>
  <w:style w:type="paragraph" w:customStyle="1" w:styleId="TOCBase">
    <w:name w:val="TOC Base"/>
    <w:rsid w:val="00D338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386D"/>
    <w:pPr>
      <w:tabs>
        <w:tab w:val="right" w:leader="dot" w:pos="9072"/>
      </w:tabs>
      <w:spacing w:before="40" w:after="40"/>
      <w:ind w:left="284"/>
    </w:pPr>
    <w:rPr>
      <w:rFonts w:ascii="Times New Roman" w:hAnsi="Times New Roman"/>
    </w:rPr>
  </w:style>
  <w:style w:type="paragraph" w:styleId="TOC1">
    <w:name w:val="toc 1"/>
    <w:basedOn w:val="TOCBase"/>
    <w:next w:val="Normal"/>
    <w:rsid w:val="00D338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38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386D"/>
    <w:rPr>
      <w:rFonts w:ascii="Times New Roman" w:eastAsia="Times New Roman" w:hAnsi="Times New Roman" w:cs="Times New Roman"/>
      <w:sz w:val="16"/>
      <w:lang w:eastAsia="en-US"/>
    </w:rPr>
  </w:style>
  <w:style w:type="paragraph" w:styleId="Title">
    <w:name w:val="Title"/>
    <w:basedOn w:val="HeadingBase"/>
    <w:link w:val="TitleChar"/>
    <w:qFormat/>
    <w:rsid w:val="00D3386D"/>
    <w:pPr>
      <w:spacing w:before="5040"/>
      <w:jc w:val="center"/>
    </w:pPr>
    <w:rPr>
      <w:sz w:val="48"/>
      <w:szCs w:val="72"/>
      <w:lang w:val="en-US"/>
    </w:rPr>
  </w:style>
  <w:style w:type="character" w:customStyle="1" w:styleId="TitleChar">
    <w:name w:val="Title Char"/>
    <w:basedOn w:val="DefaultParagraphFont"/>
    <w:link w:val="Title"/>
    <w:rsid w:val="00D338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386D"/>
    <w:pPr>
      <w:tabs>
        <w:tab w:val="left" w:pos="3600"/>
        <w:tab w:val="left" w:pos="3958"/>
      </w:tabs>
    </w:pPr>
  </w:style>
  <w:style w:type="paragraph" w:styleId="List">
    <w:name w:val="List"/>
    <w:basedOn w:val="BodyText"/>
    <w:next w:val="BodyText"/>
    <w:rsid w:val="00D3386D"/>
    <w:pPr>
      <w:tabs>
        <w:tab w:val="left" w:pos="340"/>
      </w:tabs>
      <w:spacing w:before="60" w:after="60"/>
      <w:ind w:left="340" w:hanging="340"/>
    </w:pPr>
  </w:style>
  <w:style w:type="paragraph" w:customStyle="1" w:styleId="Note">
    <w:name w:val="Note"/>
    <w:basedOn w:val="BodyText"/>
    <w:rsid w:val="00D338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386D"/>
    <w:pPr>
      <w:framePr w:wrap="auto" w:hAnchor="text" w:y="6049"/>
    </w:pPr>
    <w:rPr>
      <w:color w:val="000000"/>
      <w:sz w:val="40"/>
    </w:rPr>
  </w:style>
  <w:style w:type="paragraph" w:customStyle="1" w:styleId="TOCTitle">
    <w:name w:val="TOCTitle"/>
    <w:basedOn w:val="Heading1"/>
    <w:rsid w:val="00D3386D"/>
    <w:pPr>
      <w:spacing w:after="240"/>
      <w:jc w:val="center"/>
      <w:outlineLvl w:val="9"/>
    </w:pPr>
    <w:rPr>
      <w:caps/>
    </w:rPr>
  </w:style>
  <w:style w:type="paragraph" w:customStyle="1" w:styleId="Version">
    <w:name w:val="Version"/>
    <w:rsid w:val="00D338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386D"/>
    <w:pPr>
      <w:keepNext w:val="0"/>
      <w:tabs>
        <w:tab w:val="right" w:pos="4176"/>
      </w:tabs>
      <w:ind w:left="198" w:hanging="198"/>
    </w:pPr>
    <w:rPr>
      <w:rFonts w:ascii="Garamond" w:hAnsi="Garamond"/>
    </w:rPr>
  </w:style>
  <w:style w:type="paragraph" w:styleId="IndexHeading">
    <w:name w:val="index heading"/>
    <w:basedOn w:val="Normal"/>
    <w:next w:val="Index1"/>
    <w:semiHidden/>
    <w:rsid w:val="00D3386D"/>
    <w:pPr>
      <w:spacing w:before="120" w:after="120"/>
    </w:pPr>
    <w:rPr>
      <w:rFonts w:ascii="Arial" w:hAnsi="Arial"/>
      <w:b/>
      <w:color w:val="918585"/>
      <w:sz w:val="24"/>
    </w:rPr>
  </w:style>
  <w:style w:type="paragraph" w:styleId="Header">
    <w:name w:val="header"/>
    <w:basedOn w:val="Normal"/>
    <w:link w:val="HeaderChar"/>
    <w:rsid w:val="00D338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386D"/>
    <w:rPr>
      <w:rFonts w:ascii="Times New Roman" w:eastAsia="Times New Roman" w:hAnsi="Times New Roman" w:cs="Times New Roman"/>
      <w:sz w:val="16"/>
      <w:szCs w:val="20"/>
      <w:lang w:val="en-GB" w:eastAsia="en-US"/>
    </w:rPr>
  </w:style>
  <w:style w:type="paragraph" w:customStyle="1" w:styleId="Chapter">
    <w:name w:val="Chapter"/>
    <w:basedOn w:val="Normal"/>
    <w:rsid w:val="00D3386D"/>
    <w:pPr>
      <w:spacing w:before="240"/>
    </w:pPr>
    <w:rPr>
      <w:rFonts w:ascii="Times New Roman" w:hAnsi="Times New Roman"/>
      <w:smallCaps/>
      <w:spacing w:val="80"/>
      <w:sz w:val="28"/>
    </w:rPr>
  </w:style>
  <w:style w:type="paragraph" w:customStyle="1" w:styleId="InChapter">
    <w:name w:val="InChapter"/>
    <w:basedOn w:val="Heading3"/>
    <w:rsid w:val="00D3386D"/>
    <w:pPr>
      <w:spacing w:after="240"/>
      <w:outlineLvl w:val="9"/>
    </w:pPr>
    <w:rPr>
      <w:noProof/>
    </w:rPr>
  </w:style>
  <w:style w:type="paragraph" w:styleId="Index2">
    <w:name w:val="index 2"/>
    <w:basedOn w:val="Normal"/>
    <w:next w:val="Normal"/>
    <w:semiHidden/>
    <w:rsid w:val="00D3386D"/>
    <w:pPr>
      <w:tabs>
        <w:tab w:val="right" w:pos="4176"/>
      </w:tabs>
      <w:ind w:left="568" w:hanging="284"/>
    </w:pPr>
    <w:rPr>
      <w:rFonts w:ascii="Garamond" w:hAnsi="Garamond"/>
    </w:rPr>
  </w:style>
  <w:style w:type="paragraph" w:customStyle="1" w:styleId="Byline">
    <w:name w:val="Byline"/>
    <w:rsid w:val="00D338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386D"/>
    <w:pPr>
      <w:tabs>
        <w:tab w:val="clear" w:pos="3600"/>
        <w:tab w:val="clear" w:pos="3958"/>
      </w:tabs>
      <w:jc w:val="right"/>
    </w:pPr>
  </w:style>
  <w:style w:type="paragraph" w:styleId="Caption">
    <w:name w:val="caption"/>
    <w:basedOn w:val="BodyText"/>
    <w:next w:val="Normal"/>
    <w:qFormat/>
    <w:rsid w:val="00D3386D"/>
    <w:pPr>
      <w:framePr w:w="2268" w:hSpace="181" w:vSpace="181" w:wrap="around" w:vAnchor="text" w:hAnchor="page" w:x="1135" w:y="285" w:anchorLock="1"/>
    </w:pPr>
    <w:rPr>
      <w:i/>
    </w:rPr>
  </w:style>
  <w:style w:type="paragraph" w:customStyle="1" w:styleId="MiniTOCTitle">
    <w:name w:val="MiniTOCTitle"/>
    <w:basedOn w:val="Heading4"/>
    <w:rsid w:val="00D3386D"/>
    <w:pPr>
      <w:spacing w:before="240"/>
      <w:outlineLvl w:val="9"/>
    </w:pPr>
    <w:rPr>
      <w:noProof/>
      <w:sz w:val="24"/>
    </w:rPr>
  </w:style>
  <w:style w:type="paragraph" w:customStyle="1" w:styleId="MiniTOCItem">
    <w:name w:val="MiniTOCItem"/>
    <w:basedOn w:val="ListBullet"/>
    <w:rsid w:val="00D3386D"/>
    <w:pPr>
      <w:numPr>
        <w:numId w:val="0"/>
      </w:numPr>
      <w:tabs>
        <w:tab w:val="right" w:leader="dot" w:pos="6521"/>
      </w:tabs>
      <w:spacing w:before="0" w:after="0"/>
    </w:pPr>
  </w:style>
  <w:style w:type="paragraph" w:customStyle="1" w:styleId="TOFTitle">
    <w:name w:val="TOFTitle"/>
    <w:basedOn w:val="TOCTitle"/>
    <w:rsid w:val="00D3386D"/>
  </w:style>
  <w:style w:type="paragraph" w:styleId="TableofFigures">
    <w:name w:val="table of figures"/>
    <w:basedOn w:val="Normal"/>
    <w:next w:val="Normal"/>
    <w:semiHidden/>
    <w:rsid w:val="00D3386D"/>
    <w:pPr>
      <w:tabs>
        <w:tab w:val="right" w:leader="dot" w:pos="9072"/>
      </w:tabs>
      <w:ind w:left="970" w:hanging="403"/>
    </w:pPr>
    <w:rPr>
      <w:rFonts w:ascii="Times New Roman" w:hAnsi="Times New Roman"/>
      <w:b/>
    </w:rPr>
  </w:style>
  <w:style w:type="paragraph" w:styleId="ListNumber">
    <w:name w:val="List Number"/>
    <w:basedOn w:val="List"/>
    <w:rsid w:val="00D3386D"/>
    <w:pPr>
      <w:numPr>
        <w:numId w:val="16"/>
      </w:numPr>
      <w:tabs>
        <w:tab w:val="clear" w:pos="340"/>
      </w:tabs>
    </w:pPr>
  </w:style>
  <w:style w:type="character" w:customStyle="1" w:styleId="WingdingSymbols">
    <w:name w:val="Wingding Symbols"/>
    <w:rsid w:val="00D3386D"/>
    <w:rPr>
      <w:rFonts w:ascii="Wingdings" w:hAnsi="Wingdings"/>
    </w:rPr>
  </w:style>
  <w:style w:type="paragraph" w:customStyle="1" w:styleId="TableHeading">
    <w:name w:val="Table Heading"/>
    <w:basedOn w:val="HeadingBase"/>
    <w:rsid w:val="00D3386D"/>
    <w:pPr>
      <w:keepLines/>
      <w:pBdr>
        <w:bottom w:val="single" w:sz="6" w:space="1" w:color="918585"/>
      </w:pBdr>
      <w:spacing w:before="240"/>
    </w:pPr>
  </w:style>
  <w:style w:type="character" w:customStyle="1" w:styleId="HotSpot">
    <w:name w:val="HotSpot"/>
    <w:rsid w:val="00D3386D"/>
    <w:rPr>
      <w:color w:val="0033CC"/>
      <w:u w:val="none"/>
    </w:rPr>
  </w:style>
  <w:style w:type="paragraph" w:customStyle="1" w:styleId="BodyTextRight">
    <w:name w:val="Body Text Right"/>
    <w:basedOn w:val="BodyText"/>
    <w:rsid w:val="00D3386D"/>
    <w:pPr>
      <w:spacing w:before="0" w:after="0"/>
      <w:jc w:val="right"/>
    </w:pPr>
  </w:style>
  <w:style w:type="paragraph" w:styleId="Index3">
    <w:name w:val="index 3"/>
    <w:basedOn w:val="ListNumber2"/>
    <w:next w:val="Normal"/>
    <w:semiHidden/>
    <w:rsid w:val="00D3386D"/>
    <w:pPr>
      <w:numPr>
        <w:numId w:val="0"/>
      </w:numPr>
      <w:tabs>
        <w:tab w:val="right" w:leader="dot" w:pos="4176"/>
      </w:tabs>
    </w:pPr>
  </w:style>
  <w:style w:type="paragraph" w:styleId="ListNumber2">
    <w:name w:val="List Number 2"/>
    <w:basedOn w:val="List2"/>
    <w:rsid w:val="00D3386D"/>
    <w:pPr>
      <w:numPr>
        <w:numId w:val="11"/>
      </w:numPr>
      <w:tabs>
        <w:tab w:val="clear" w:pos="1060"/>
      </w:tabs>
    </w:pPr>
  </w:style>
  <w:style w:type="paragraph" w:customStyle="1" w:styleId="MarginNote">
    <w:name w:val="Margin Note"/>
    <w:basedOn w:val="BodyText"/>
    <w:rsid w:val="00D338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38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38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386D"/>
    <w:rPr>
      <w:sz w:val="32"/>
    </w:rPr>
  </w:style>
  <w:style w:type="paragraph" w:customStyle="1" w:styleId="HeadingProcedure">
    <w:name w:val="Heading Procedure"/>
    <w:basedOn w:val="HeadingBase"/>
    <w:next w:val="Normal"/>
    <w:rsid w:val="00D3386D"/>
    <w:pPr>
      <w:tabs>
        <w:tab w:val="left" w:pos="0"/>
      </w:tabs>
      <w:spacing w:before="120" w:after="60"/>
    </w:pPr>
    <w:rPr>
      <w:i/>
      <w:color w:val="918585"/>
      <w:sz w:val="22"/>
    </w:rPr>
  </w:style>
  <w:style w:type="paragraph" w:customStyle="1" w:styleId="TableBodyText">
    <w:name w:val="Table Body Text"/>
    <w:basedOn w:val="BodyText"/>
    <w:rsid w:val="00D3386D"/>
    <w:pPr>
      <w:spacing w:before="60" w:after="60"/>
    </w:pPr>
  </w:style>
  <w:style w:type="paragraph" w:styleId="ListContinue">
    <w:name w:val="List Continue"/>
    <w:basedOn w:val="List"/>
    <w:rsid w:val="00D3386D"/>
    <w:pPr>
      <w:ind w:firstLine="0"/>
    </w:pPr>
  </w:style>
  <w:style w:type="paragraph" w:customStyle="1" w:styleId="ListNote">
    <w:name w:val="List Note"/>
    <w:basedOn w:val="List"/>
    <w:rsid w:val="00D3386D"/>
    <w:pPr>
      <w:pBdr>
        <w:top w:val="single" w:sz="6" w:space="2" w:color="918585"/>
        <w:bottom w:val="single" w:sz="6" w:space="2" w:color="918585"/>
      </w:pBdr>
      <w:tabs>
        <w:tab w:val="left" w:pos="1021"/>
      </w:tabs>
      <w:ind w:firstLine="0"/>
    </w:pPr>
  </w:style>
  <w:style w:type="paragraph" w:customStyle="1" w:styleId="Warning">
    <w:name w:val="Warning"/>
    <w:basedOn w:val="BodyText"/>
    <w:rsid w:val="00D3386D"/>
    <w:pPr>
      <w:shd w:val="clear" w:color="auto" w:fill="D9D9D9"/>
      <w:tabs>
        <w:tab w:val="left" w:pos="992"/>
      </w:tabs>
      <w:ind w:left="119" w:right="119"/>
    </w:pPr>
    <w:rPr>
      <w:sz w:val="20"/>
    </w:rPr>
  </w:style>
  <w:style w:type="paragraph" w:customStyle="1" w:styleId="MarginIcons">
    <w:name w:val="Margin Icons"/>
    <w:basedOn w:val="BodyText"/>
    <w:rsid w:val="00D338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386D"/>
    <w:rPr>
      <w:rFonts w:ascii="Courier New" w:hAnsi="Courier New"/>
    </w:rPr>
  </w:style>
  <w:style w:type="paragraph" w:customStyle="1" w:styleId="NoteBullet">
    <w:name w:val="Note Bullet"/>
    <w:basedOn w:val="Note"/>
    <w:rsid w:val="00D3386D"/>
    <w:pPr>
      <w:tabs>
        <w:tab w:val="clear" w:pos="680"/>
      </w:tabs>
      <w:spacing w:before="60" w:after="60"/>
    </w:pPr>
  </w:style>
  <w:style w:type="paragraph" w:customStyle="1" w:styleId="SubHeading2">
    <w:name w:val="SubHeading2"/>
    <w:basedOn w:val="HeadingBase"/>
    <w:rsid w:val="00D3386D"/>
    <w:pPr>
      <w:spacing w:before="240" w:after="60"/>
    </w:pPr>
    <w:rPr>
      <w:sz w:val="20"/>
    </w:rPr>
  </w:style>
  <w:style w:type="paragraph" w:customStyle="1" w:styleId="SubHeading1">
    <w:name w:val="SubHeading1"/>
    <w:basedOn w:val="HeadingBase"/>
    <w:rsid w:val="00D3386D"/>
    <w:pPr>
      <w:spacing w:before="240" w:after="60"/>
    </w:pPr>
    <w:rPr>
      <w:color w:val="918585"/>
      <w:sz w:val="22"/>
    </w:rPr>
  </w:style>
  <w:style w:type="paragraph" w:customStyle="1" w:styleId="SideHeading">
    <w:name w:val="Side Heading"/>
    <w:basedOn w:val="HeadingBase"/>
    <w:rsid w:val="00D338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386D"/>
    <w:pPr>
      <w:numPr>
        <w:numId w:val="12"/>
      </w:numPr>
    </w:pPr>
  </w:style>
  <w:style w:type="paragraph" w:styleId="PlainText">
    <w:name w:val="Plain Text"/>
    <w:basedOn w:val="Normal"/>
    <w:link w:val="PlainTextChar"/>
    <w:rsid w:val="00D3386D"/>
    <w:rPr>
      <w:sz w:val="20"/>
    </w:rPr>
  </w:style>
  <w:style w:type="character" w:customStyle="1" w:styleId="PlainTextChar">
    <w:name w:val="Plain Text Char"/>
    <w:basedOn w:val="DefaultParagraphFont"/>
    <w:link w:val="PlainText"/>
    <w:rsid w:val="00D3386D"/>
    <w:rPr>
      <w:rFonts w:ascii="Courier New" w:eastAsia="Times New Roman" w:hAnsi="Courier New" w:cs="Times New Roman"/>
      <w:sz w:val="20"/>
      <w:szCs w:val="20"/>
      <w:lang w:eastAsia="en-US"/>
    </w:rPr>
  </w:style>
  <w:style w:type="character" w:customStyle="1" w:styleId="MenuOption">
    <w:name w:val="Menu Option"/>
    <w:basedOn w:val="DefaultParagraphFont"/>
    <w:rsid w:val="00D3386D"/>
    <w:rPr>
      <w:b/>
      <w:smallCaps/>
    </w:rPr>
  </w:style>
  <w:style w:type="paragraph" w:customStyle="1" w:styleId="TableListNumber">
    <w:name w:val="Table List Number"/>
    <w:basedOn w:val="ListNumber"/>
    <w:rsid w:val="00D3386D"/>
    <w:pPr>
      <w:numPr>
        <w:numId w:val="0"/>
      </w:numPr>
    </w:pPr>
  </w:style>
  <w:style w:type="paragraph" w:styleId="TOC4">
    <w:name w:val="toc 4"/>
    <w:basedOn w:val="TOCBase"/>
    <w:next w:val="Normal"/>
    <w:semiHidden/>
    <w:rsid w:val="00D3386D"/>
    <w:pPr>
      <w:tabs>
        <w:tab w:val="right" w:leader="dot" w:pos="9071"/>
      </w:tabs>
      <w:ind w:left="1701"/>
    </w:pPr>
  </w:style>
  <w:style w:type="paragraph" w:customStyle="1" w:styleId="ListAlpha">
    <w:name w:val="List Alpha"/>
    <w:basedOn w:val="List"/>
    <w:rsid w:val="00D3386D"/>
    <w:pPr>
      <w:numPr>
        <w:numId w:val="10"/>
      </w:numPr>
    </w:pPr>
  </w:style>
  <w:style w:type="paragraph" w:customStyle="1" w:styleId="ListAlpha2">
    <w:name w:val="List Alpha 2"/>
    <w:basedOn w:val="List2"/>
    <w:rsid w:val="00D3386D"/>
    <w:pPr>
      <w:numPr>
        <w:numId w:val="9"/>
      </w:numPr>
    </w:pPr>
  </w:style>
  <w:style w:type="paragraph" w:styleId="List2">
    <w:name w:val="List 2"/>
    <w:basedOn w:val="BodyText"/>
    <w:rsid w:val="00D3386D"/>
    <w:pPr>
      <w:tabs>
        <w:tab w:val="left" w:pos="680"/>
      </w:tabs>
      <w:spacing w:before="60" w:after="60"/>
      <w:ind w:left="680" w:hanging="340"/>
    </w:pPr>
  </w:style>
  <w:style w:type="paragraph" w:styleId="List3">
    <w:name w:val="List 3"/>
    <w:basedOn w:val="BodyText"/>
    <w:rsid w:val="00D3386D"/>
    <w:pPr>
      <w:tabs>
        <w:tab w:val="left" w:pos="1021"/>
      </w:tabs>
      <w:spacing w:before="60" w:after="60"/>
      <w:ind w:left="1020" w:hanging="340"/>
    </w:pPr>
  </w:style>
  <w:style w:type="paragraph" w:styleId="List4">
    <w:name w:val="List 4"/>
    <w:basedOn w:val="BodyText"/>
    <w:rsid w:val="00D3386D"/>
    <w:pPr>
      <w:tabs>
        <w:tab w:val="left" w:pos="1361"/>
      </w:tabs>
      <w:spacing w:before="60" w:after="60"/>
      <w:ind w:left="1361" w:hanging="340"/>
    </w:pPr>
  </w:style>
  <w:style w:type="paragraph" w:styleId="List5">
    <w:name w:val="List 5"/>
    <w:basedOn w:val="BodyText"/>
    <w:rsid w:val="00D3386D"/>
    <w:pPr>
      <w:tabs>
        <w:tab w:val="left" w:pos="1701"/>
      </w:tabs>
      <w:spacing w:before="60" w:after="60"/>
      <w:ind w:left="1701" w:hanging="340"/>
    </w:pPr>
  </w:style>
  <w:style w:type="paragraph" w:styleId="ListBullet4">
    <w:name w:val="List Bullet 4"/>
    <w:basedOn w:val="List4"/>
    <w:rsid w:val="00D3386D"/>
    <w:pPr>
      <w:numPr>
        <w:numId w:val="4"/>
      </w:numPr>
      <w:tabs>
        <w:tab w:val="clear" w:pos="1361"/>
      </w:tabs>
    </w:pPr>
  </w:style>
  <w:style w:type="paragraph" w:styleId="ListBullet5">
    <w:name w:val="List Bullet 5"/>
    <w:basedOn w:val="List5"/>
    <w:rsid w:val="00D3386D"/>
    <w:pPr>
      <w:numPr>
        <w:numId w:val="5"/>
      </w:numPr>
    </w:pPr>
  </w:style>
  <w:style w:type="paragraph" w:styleId="ListContinue2">
    <w:name w:val="List Continue 2"/>
    <w:basedOn w:val="List2"/>
    <w:rsid w:val="00D3386D"/>
    <w:pPr>
      <w:ind w:firstLine="0"/>
    </w:pPr>
  </w:style>
  <w:style w:type="paragraph" w:styleId="ListContinue3">
    <w:name w:val="List Continue 3"/>
    <w:basedOn w:val="List3"/>
    <w:rsid w:val="00D3386D"/>
    <w:pPr>
      <w:ind w:left="1021" w:firstLine="0"/>
    </w:pPr>
  </w:style>
  <w:style w:type="paragraph" w:styleId="ListContinue4">
    <w:name w:val="List Continue 4"/>
    <w:basedOn w:val="List4"/>
    <w:rsid w:val="00D3386D"/>
    <w:pPr>
      <w:ind w:firstLine="0"/>
    </w:pPr>
  </w:style>
  <w:style w:type="paragraph" w:styleId="ListContinue5">
    <w:name w:val="List Continue 5"/>
    <w:basedOn w:val="List5"/>
    <w:rsid w:val="00D3386D"/>
    <w:pPr>
      <w:ind w:firstLine="0"/>
    </w:pPr>
  </w:style>
  <w:style w:type="paragraph" w:styleId="ListNumber3">
    <w:name w:val="List Number 3"/>
    <w:basedOn w:val="List3"/>
    <w:rsid w:val="00D3386D"/>
    <w:pPr>
      <w:numPr>
        <w:numId w:val="6"/>
      </w:numPr>
    </w:pPr>
  </w:style>
  <w:style w:type="paragraph" w:styleId="ListNumber4">
    <w:name w:val="List Number 4"/>
    <w:basedOn w:val="List4"/>
    <w:rsid w:val="00D3386D"/>
    <w:pPr>
      <w:numPr>
        <w:numId w:val="7"/>
      </w:numPr>
    </w:pPr>
  </w:style>
  <w:style w:type="paragraph" w:styleId="ListNumber5">
    <w:name w:val="List Number 5"/>
    <w:basedOn w:val="List5"/>
    <w:rsid w:val="00D3386D"/>
    <w:pPr>
      <w:numPr>
        <w:numId w:val="8"/>
      </w:numPr>
    </w:pPr>
  </w:style>
  <w:style w:type="paragraph" w:styleId="BlockText">
    <w:name w:val="Block Text"/>
    <w:basedOn w:val="Normal"/>
    <w:rsid w:val="00D3386D"/>
    <w:pPr>
      <w:spacing w:after="120"/>
      <w:ind w:left="1440" w:right="1440"/>
    </w:pPr>
  </w:style>
  <w:style w:type="character" w:customStyle="1" w:styleId="Subscript">
    <w:name w:val="Subscript"/>
    <w:basedOn w:val="DefaultParagraphFont"/>
    <w:rsid w:val="00D3386D"/>
    <w:rPr>
      <w:sz w:val="16"/>
      <w:vertAlign w:val="subscript"/>
    </w:rPr>
  </w:style>
  <w:style w:type="character" w:customStyle="1" w:styleId="Superscript">
    <w:name w:val="Superscript"/>
    <w:basedOn w:val="DefaultParagraphFont"/>
    <w:rsid w:val="00D3386D"/>
    <w:rPr>
      <w:sz w:val="16"/>
      <w:vertAlign w:val="superscript"/>
    </w:rPr>
  </w:style>
  <w:style w:type="character" w:customStyle="1" w:styleId="Symbols">
    <w:name w:val="Symbols"/>
    <w:basedOn w:val="DefaultParagraphFont"/>
    <w:rsid w:val="00D3386D"/>
    <w:rPr>
      <w:rFonts w:ascii="Symbol" w:hAnsi="Symbol"/>
    </w:rPr>
  </w:style>
  <w:style w:type="character" w:customStyle="1" w:styleId="MenuOptions">
    <w:name w:val="Menu Options"/>
    <w:basedOn w:val="DefaultParagraphFont"/>
    <w:rsid w:val="00D3386D"/>
    <w:rPr>
      <w:rFonts w:ascii="Arial Narrow" w:hAnsi="Arial Narrow"/>
      <w:smallCaps/>
    </w:rPr>
  </w:style>
  <w:style w:type="character" w:customStyle="1" w:styleId="Buttons">
    <w:name w:val="Buttons"/>
    <w:basedOn w:val="DefaultParagraphFont"/>
    <w:rsid w:val="00D3386D"/>
    <w:rPr>
      <w:b/>
    </w:rPr>
  </w:style>
  <w:style w:type="character" w:customStyle="1" w:styleId="Underlined">
    <w:name w:val="Underlined"/>
    <w:basedOn w:val="DefaultParagraphFont"/>
    <w:rsid w:val="00D3386D"/>
    <w:rPr>
      <w:u w:val="single"/>
    </w:rPr>
  </w:style>
  <w:style w:type="paragraph" w:customStyle="1" w:styleId="TableBodyTextRight">
    <w:name w:val="Table Body Text Right"/>
    <w:basedOn w:val="TableBodyText"/>
    <w:rsid w:val="00D3386D"/>
    <w:pPr>
      <w:widowControl w:val="0"/>
      <w:autoSpaceDE w:val="0"/>
      <w:autoSpaceDN w:val="0"/>
      <w:adjustRightInd w:val="0"/>
      <w:jc w:val="right"/>
    </w:pPr>
    <w:rPr>
      <w:rFonts w:cs="Arial"/>
      <w:szCs w:val="18"/>
    </w:rPr>
  </w:style>
  <w:style w:type="paragraph" w:customStyle="1" w:styleId="CopyrightText">
    <w:name w:val="Copyright Text"/>
    <w:basedOn w:val="BodyText"/>
    <w:rsid w:val="00D3386D"/>
    <w:rPr>
      <w:sz w:val="18"/>
    </w:rPr>
  </w:style>
  <w:style w:type="paragraph" w:customStyle="1" w:styleId="BodySmallRight">
    <w:name w:val="Body Small Right"/>
    <w:basedOn w:val="BodyTextRight"/>
    <w:rsid w:val="00D3386D"/>
    <w:rPr>
      <w:sz w:val="18"/>
      <w:szCs w:val="18"/>
    </w:rPr>
  </w:style>
  <w:style w:type="paragraph" w:customStyle="1" w:styleId="MarginEdition">
    <w:name w:val="Margin Edition"/>
    <w:basedOn w:val="MarginNote"/>
    <w:rsid w:val="00D3386D"/>
    <w:pPr>
      <w:spacing w:before="0" w:after="0"/>
    </w:pPr>
    <w:rPr>
      <w:rFonts w:ascii="Times New Roman" w:hAnsi="Times New Roman"/>
      <w:color w:val="999999"/>
    </w:rPr>
  </w:style>
  <w:style w:type="paragraph" w:customStyle="1" w:styleId="Spacer">
    <w:name w:val="Spacer"/>
    <w:basedOn w:val="Normal"/>
    <w:rsid w:val="00D3386D"/>
    <w:rPr>
      <w:sz w:val="2"/>
      <w:szCs w:val="2"/>
    </w:rPr>
  </w:style>
  <w:style w:type="character" w:customStyle="1" w:styleId="Small">
    <w:name w:val="Small"/>
    <w:basedOn w:val="DefaultParagraphFont"/>
    <w:rsid w:val="00D3386D"/>
    <w:rPr>
      <w:sz w:val="16"/>
    </w:rPr>
  </w:style>
  <w:style w:type="paragraph" w:customStyle="1" w:styleId="WideTable">
    <w:name w:val="Wide Table"/>
    <w:basedOn w:val="Normal"/>
    <w:rsid w:val="00D3386D"/>
    <w:pPr>
      <w:ind w:left="-1418"/>
    </w:pPr>
    <w:rPr>
      <w:sz w:val="2"/>
      <w:szCs w:val="2"/>
    </w:rPr>
  </w:style>
  <w:style w:type="character" w:styleId="PageNumber">
    <w:name w:val="page number"/>
    <w:basedOn w:val="DefaultParagraphFont"/>
    <w:rsid w:val="00D3386D"/>
  </w:style>
  <w:style w:type="paragraph" w:styleId="Quote">
    <w:name w:val="Quote"/>
    <w:basedOn w:val="Heading1"/>
    <w:link w:val="QuoteChar"/>
    <w:qFormat/>
    <w:rsid w:val="00D3386D"/>
    <w:rPr>
      <w:b w:val="0"/>
      <w:sz w:val="72"/>
      <w:szCs w:val="72"/>
      <w:lang w:val="en-NZ"/>
    </w:rPr>
  </w:style>
  <w:style w:type="character" w:customStyle="1" w:styleId="QuoteChar">
    <w:name w:val="Quote Char"/>
    <w:basedOn w:val="DefaultParagraphFont"/>
    <w:link w:val="Quote"/>
    <w:rsid w:val="00D338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386D"/>
    <w:pPr>
      <w:pageBreakBefore/>
    </w:pPr>
  </w:style>
  <w:style w:type="paragraph" w:customStyle="1" w:styleId="Border">
    <w:name w:val="Border"/>
    <w:basedOn w:val="Normal"/>
    <w:qFormat/>
    <w:rsid w:val="00D338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386D"/>
    <w:rPr>
      <w:b/>
      <w:bCs/>
      <w:i/>
      <w:iCs/>
      <w:color w:val="auto"/>
    </w:rPr>
  </w:style>
  <w:style w:type="paragraph" w:styleId="IntenseQuote">
    <w:name w:val="Intense Quote"/>
    <w:basedOn w:val="Normal"/>
    <w:next w:val="Normal"/>
    <w:link w:val="IntenseQuoteChar"/>
    <w:uiPriority w:val="30"/>
    <w:qFormat/>
    <w:rsid w:val="00D338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38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386D"/>
    <w:rPr>
      <w:smallCaps/>
      <w:color w:val="auto"/>
      <w:u w:val="single"/>
    </w:rPr>
  </w:style>
  <w:style w:type="character" w:styleId="IntenseReference">
    <w:name w:val="Intense Reference"/>
    <w:basedOn w:val="DefaultParagraphFont"/>
    <w:uiPriority w:val="32"/>
    <w:qFormat/>
    <w:rsid w:val="00D3386D"/>
    <w:rPr>
      <w:b/>
      <w:bCs/>
      <w:smallCaps/>
      <w:color w:val="auto"/>
      <w:spacing w:val="5"/>
      <w:u w:val="single"/>
    </w:rPr>
  </w:style>
  <w:style w:type="paragraph" w:customStyle="1" w:styleId="2ColumnHeading">
    <w:name w:val="2Column Heading"/>
    <w:basedOn w:val="BodyText"/>
    <w:qFormat/>
    <w:rsid w:val="00D3386D"/>
    <w:pPr>
      <w:spacing w:after="60"/>
      <w:ind w:left="-2268"/>
    </w:pPr>
    <w:rPr>
      <w:b/>
    </w:rPr>
  </w:style>
  <w:style w:type="paragraph" w:customStyle="1" w:styleId="Heading1TOC">
    <w:name w:val="Heading1 TOC"/>
    <w:basedOn w:val="Normal"/>
    <w:qFormat/>
    <w:rsid w:val="00D3386D"/>
    <w:pPr>
      <w:spacing w:before="240" w:after="120"/>
    </w:pPr>
    <w:rPr>
      <w:rFonts w:ascii="Times New Roman" w:hAnsi="Times New Roman"/>
      <w:b/>
      <w:sz w:val="32"/>
    </w:rPr>
  </w:style>
  <w:style w:type="paragraph" w:customStyle="1" w:styleId="Heading2TOC">
    <w:name w:val="Heading2 TOC"/>
    <w:basedOn w:val="Normal"/>
    <w:qFormat/>
    <w:rsid w:val="00D3386D"/>
    <w:pPr>
      <w:spacing w:before="240" w:after="60"/>
    </w:pPr>
    <w:rPr>
      <w:rFonts w:ascii="Times New Roman" w:hAnsi="Times New Roman"/>
      <w:b/>
      <w:sz w:val="28"/>
    </w:rPr>
  </w:style>
  <w:style w:type="character" w:customStyle="1" w:styleId="Underline">
    <w:name w:val="Underline"/>
    <w:basedOn w:val="DefaultParagraphFont"/>
    <w:qFormat/>
    <w:rsid w:val="00D3386D"/>
    <w:rPr>
      <w:u w:val="single"/>
    </w:rPr>
  </w:style>
  <w:style w:type="character" w:customStyle="1" w:styleId="BoldandItalics">
    <w:name w:val="Bold and Italics"/>
    <w:qFormat/>
    <w:rsid w:val="00D3386D"/>
    <w:rPr>
      <w:b/>
      <w:i/>
      <w:u w:val="none"/>
    </w:rPr>
  </w:style>
  <w:style w:type="paragraph" w:styleId="BalloonText">
    <w:name w:val="Balloon Text"/>
    <w:basedOn w:val="Normal"/>
    <w:link w:val="BalloonTextChar"/>
    <w:rsid w:val="00D3386D"/>
    <w:rPr>
      <w:rFonts w:ascii="Tahoma" w:hAnsi="Tahoma" w:cs="Tahoma"/>
      <w:sz w:val="16"/>
      <w:szCs w:val="16"/>
    </w:rPr>
  </w:style>
  <w:style w:type="character" w:customStyle="1" w:styleId="BalloonTextChar">
    <w:name w:val="Balloon Text Char"/>
    <w:basedOn w:val="DefaultParagraphFont"/>
    <w:link w:val="BalloonText"/>
    <w:rsid w:val="00D338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38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38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386D"/>
    <w:rPr>
      <w:b/>
      <w:color w:val="660033"/>
      <w:spacing w:val="0"/>
    </w:rPr>
  </w:style>
  <w:style w:type="paragraph" w:customStyle="1" w:styleId="Nameditemlist">
    <w:name w:val="Named item list"/>
    <w:basedOn w:val="BodyText"/>
    <w:qFormat/>
    <w:rsid w:val="00D3386D"/>
    <w:pPr>
      <w:tabs>
        <w:tab w:val="left" w:pos="2835"/>
      </w:tabs>
      <w:ind w:left="2835" w:hanging="2835"/>
    </w:pPr>
  </w:style>
  <w:style w:type="paragraph" w:customStyle="1" w:styleId="BodyTextnopadding">
    <w:name w:val="Body Text no padding"/>
    <w:basedOn w:val="BodyText"/>
    <w:qFormat/>
    <w:rsid w:val="00D3386D"/>
    <w:pPr>
      <w:spacing w:before="0" w:after="0"/>
    </w:pPr>
  </w:style>
  <w:style w:type="paragraph" w:customStyle="1" w:styleId="BodyTextBold">
    <w:name w:val="Body Text Bold"/>
    <w:basedOn w:val="BodyText"/>
    <w:qFormat/>
    <w:rsid w:val="00D3386D"/>
    <w:rPr>
      <w:b/>
    </w:rPr>
  </w:style>
  <w:style w:type="character" w:styleId="Hyperlink">
    <w:name w:val="Hyperlink"/>
    <w:basedOn w:val="DefaultParagraphFont"/>
    <w:uiPriority w:val="99"/>
    <w:unhideWhenUsed/>
    <w:rsid w:val="00BC64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1878</Words>
  <Characters>12380</Characters>
  <Application>Microsoft Office Word</Application>
  <DocSecurity>0</DocSecurity>
  <Lines>375</Lines>
  <Paragraphs>279</Paragraphs>
  <ScaleCrop>false</ScaleCrop>
  <Company>Author-it Software Corporation Ltd.</Company>
  <LinksUpToDate>false</LinksUpToDate>
  <CharactersWithSpaces>13979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HLTKIN004 Provide kinesiology balances</dc:title>
  <dc:subject>Approved</dc:subject>
  <dc:creator>HumanAbility</dc:creator>
  <cp:keywords>Release: 2</cp:keywords>
  <dc:description>Review Date: 12 April 2008</dc:description>
  <cp:lastModifiedBy>HSD_TPCMSd.prod</cp:lastModifiedBy>
  <cp:revision>3</cp:revision>
  <dcterms:created xsi:type="dcterms:W3CDTF">2025-03-01T14:10:00Z</dcterms:created>
  <dcterms:modified xsi:type="dcterms:W3CDTF">2025-03-01T14:10:00Z</dcterms:modified>
</cp:coreProperties>
</file>