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0E9C" w:rsidP="00EF0E9C">
      <w:pPr>
        <w:pStyle w:val="Title"/>
      </w:pPr>
      <w:r>
        <w:fldChar w:fldCharType="begin"/>
      </w:r>
      <w:r>
        <w:instrText xml:space="preserve"> TITLE   \* MERGEFORMAT </w:instrText>
      </w:r>
      <w:r>
        <w:fldChar w:fldCharType="separate"/>
      </w:r>
      <w:r>
        <w:t>Assessment Requirements for HLTKIN004 Provide kinesiology balances</w:t>
      </w:r>
      <w:r>
        <w:fldChar w:fldCharType="end"/>
      </w:r>
    </w:p>
    <w:p w:rsidR="00EF0E9C" w:rsidP="00EF0E9C">
      <w:pPr>
        <w:pStyle w:val="Version"/>
        <w:sectPr w:rsidSect="00D80F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80FAC" w:rsidP="00D80FAC">
      <w:pPr>
        <w:pStyle w:val="SuperHeading"/>
      </w:pPr>
      <w:r w:rsidRPr="00D80FAC">
        <w:t>Assessment Requirements for HLTKIN004 Provide kinesiology balances</w:t>
      </w:r>
    </w:p>
    <w:p w:rsidR="00000000" w:rsidRPr="00D80FAC" w:rsidP="00D80FAC">
      <w:pPr>
        <w:pStyle w:val="Heading1"/>
      </w:pPr>
      <w:bookmarkStart w:id="1" w:name="O_873284"/>
      <w:bookmarkEnd w:id="1"/>
      <w:r w:rsidRPr="00D80FAC">
        <w:t>Modification History</w:t>
      </w:r>
    </w:p>
    <w:tbl>
      <w:tblPr>
        <w:tblW w:w="0" w:type="auto"/>
        <w:tblLayout w:type="fixed"/>
        <w:tblCellMar>
          <w:left w:w="62" w:type="dxa"/>
          <w:right w:w="62" w:type="dxa"/>
        </w:tblCellMar>
        <w:tblLook w:val="0000"/>
      </w:tblPr>
      <w:tblGrid>
        <w:gridCol w:w="2790"/>
        <w:gridCol w:w="6344"/>
      </w:tblGrid>
      <w:tr w:rsidTr="00D80FA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FAC" w:rsidP="00D80FAC">
            <w:pPr>
              <w:pStyle w:val="BodyText"/>
            </w:pPr>
            <w:r w:rsidRPr="00D80FA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FAC">
            <w:pPr>
              <w:pStyle w:val="BodyText"/>
              <w:rPr>
                <w:lang w:val="en-NZ"/>
              </w:rPr>
            </w:pPr>
            <w:r w:rsidRPr="00D80FAC">
              <w:rPr>
                <w:rStyle w:val="SpecialBold"/>
              </w:rPr>
              <w:t>Comments</w:t>
            </w:r>
          </w:p>
        </w:tc>
      </w:tr>
      <w:tr w:rsidTr="00D80FA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FAC">
            <w:pPr>
              <w:pStyle w:val="BodyText"/>
              <w:rPr>
                <w:lang w:val="en-NZ"/>
              </w:rPr>
            </w:pPr>
            <w:r w:rsidRPr="00D80FAC">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FAC" w:rsidP="00D80FAC">
            <w:pPr>
              <w:pStyle w:val="BodyText"/>
            </w:pPr>
            <w:r w:rsidRPr="00D80FAC">
              <w:t>Corrections to typographical errors in the Performance Evidence and Knowledge Evidence.</w:t>
            </w:r>
          </w:p>
          <w:p w:rsidR="00000000" w:rsidP="00D80FAC">
            <w:pPr>
              <w:pStyle w:val="BodyText"/>
              <w:rPr>
                <w:lang w:val="en-NZ"/>
              </w:rPr>
            </w:pPr>
            <w:r w:rsidRPr="00D80FAC">
              <w:t>Equivalent outcome.</w:t>
            </w:r>
          </w:p>
        </w:tc>
      </w:tr>
      <w:tr w:rsidTr="00D80FA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FAC">
            <w:pPr>
              <w:pStyle w:val="BodyText"/>
              <w:rPr>
                <w:lang w:val="en-NZ"/>
              </w:rPr>
            </w:pPr>
            <w:r w:rsidRPr="00D80FA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FAC" w:rsidP="00D80FAC">
            <w:pPr>
              <w:pStyle w:val="BodyText"/>
            </w:pPr>
            <w:r w:rsidRPr="00D80FAC">
              <w:t xml:space="preserve">This version was released in </w:t>
            </w:r>
            <w:r w:rsidRPr="00D80FAC">
              <w:rPr>
                <w:rStyle w:val="Emphasis"/>
              </w:rPr>
              <w:t>CHC Community Services Training Package release 2.0</w:t>
            </w:r>
            <w:r w:rsidRPr="00D80FAC">
              <w:t xml:space="preserve"> and meets the requirements of the 2012 Standards for Training Packages.</w:t>
            </w:r>
          </w:p>
          <w:p w:rsidR="00000000" w:rsidRPr="00D80FAC" w:rsidP="00D80FAC">
            <w:pPr>
              <w:pStyle w:val="BodyText"/>
            </w:pPr>
          </w:p>
          <w:p w:rsidR="00000000" w:rsidRPr="00D80FAC" w:rsidP="00D80FAC">
            <w:pPr>
              <w:pStyle w:val="BodyText"/>
            </w:pPr>
            <w:r w:rsidRPr="00D80FAC">
              <w:t>Significant changes to the elements and performance criteria. New evidence requirements for assessment</w:t>
            </w:r>
            <w:r w:rsidRPr="00D80FAC">
              <w:t>, including volume and frequency requirements. Significant change to knowledge evidence. Minimum clinic hours added. Additional assessor requirements.</w:t>
            </w:r>
          </w:p>
        </w:tc>
      </w:tr>
    </w:tbl>
    <w:p w:rsidR="00000000" w:rsidRPr="00D80FAC" w:rsidP="00D80FAC">
      <w:pPr>
        <w:pStyle w:val="BodyText"/>
      </w:pPr>
    </w:p>
    <w:p w:rsidR="00000000" w:rsidRPr="00D80FAC" w:rsidP="00D80FAC">
      <w:pPr>
        <w:pStyle w:val="AllowPageBreak"/>
      </w:pPr>
    </w:p>
    <w:p w:rsidR="00000000" w:rsidRPr="00D80FAC" w:rsidP="00D80FAC">
      <w:pPr>
        <w:pStyle w:val="Heading1"/>
      </w:pPr>
      <w:bookmarkStart w:id="2" w:name="O_873283"/>
      <w:bookmarkEnd w:id="2"/>
      <w:r w:rsidRPr="00D80FAC">
        <w:t>Performance Evidence</w:t>
      </w:r>
    </w:p>
    <w:p w:rsidR="00000000" w:rsidRPr="00D80FAC" w:rsidP="00EF0E9C">
      <w:pPr>
        <w:pStyle w:val="BodyText"/>
      </w:pPr>
      <w:r w:rsidRPr="00D80FAC">
        <w:t>The candidate must show evidence of the ability to complete tasks</w:t>
      </w:r>
      <w:r w:rsidRPr="00D80FAC">
        <w:t xml:space="preserve"> outlined in elements and performance criteria of this unit, manage tasks and manage contingencies in the context of the job role. There must be evidence that the candidate has:</w:t>
      </w:r>
    </w:p>
    <w:p w:rsidR="00000000" w:rsidRPr="00D80FAC" w:rsidP="00D80FAC">
      <w:pPr>
        <w:pStyle w:val="ListBullet"/>
      </w:pPr>
      <w:r w:rsidRPr="00D80FAC">
        <w:t>performed the activities outlined in the performance criteria of this unit du</w:t>
      </w:r>
      <w:r w:rsidRPr="00D80FAC">
        <w:t>ring a period of at least 200 hours of kinesiology client consultation work</w:t>
      </w:r>
    </w:p>
    <w:p w:rsidR="00000000" w:rsidRPr="00D80FAC" w:rsidP="00D80FAC">
      <w:pPr>
        <w:pStyle w:val="ListBullet"/>
      </w:pPr>
      <w:r w:rsidRPr="00D80FAC">
        <w:t>prepared for and managed full contextual balances according to modality procedures for at least 40 different people, 10 of whom must be seen at least 3 times. Clients must include males and females from different stages of life with varied presentations</w:t>
      </w:r>
    </w:p>
    <w:p w:rsidR="00000000" w:rsidRPr="00D80FAC" w:rsidP="00D80FAC">
      <w:pPr>
        <w:pStyle w:val="ListBullet"/>
      </w:pPr>
      <w:r w:rsidRPr="00D80FAC">
        <w:t>de</w:t>
      </w:r>
      <w:r w:rsidRPr="00D80FAC">
        <w:t>monstrated accurate muscle monitoring including the starting point, range of test, and the testing direction of at least 70 muscles, either individually or as part of a group, on at least 2 occasions per muscle or group. Muscles of the neck, shoulder, arm,</w:t>
      </w:r>
      <w:r w:rsidRPr="00D80FAC">
        <w:t xml:space="preserve"> trunk, hip and upper leg, lower leg and foot must be included</w:t>
      </w:r>
    </w:p>
    <w:p w:rsidR="00000000" w:rsidRPr="00D80FAC" w:rsidP="00D80FAC">
      <w:pPr>
        <w:pStyle w:val="ListBullet"/>
      </w:pPr>
      <w:r w:rsidRPr="00D80FAC">
        <w:t>used surrogate muscle balancing on at least 3 different muscles from 3 different regions of the body</w:t>
      </w:r>
    </w:p>
    <w:p w:rsidR="00000000" w:rsidRPr="00D80FAC" w:rsidP="00D80FAC">
      <w:pPr>
        <w:pStyle w:val="ListBullet"/>
      </w:pPr>
      <w:r w:rsidRPr="00D80FAC">
        <w:t>performed each of the following balancing techniques on at least 2 occasions:</w:t>
      </w:r>
    </w:p>
    <w:p w:rsidR="00000000" w:rsidRPr="00D80FAC" w:rsidP="00D80FAC">
      <w:pPr>
        <w:pStyle w:val="ListBullet2"/>
      </w:pPr>
      <w:r w:rsidRPr="00D80FAC">
        <w:t>general kines</w:t>
      </w:r>
      <w:r w:rsidRPr="00D80FAC">
        <w:t>iology techniques, including:</w:t>
      </w:r>
    </w:p>
    <w:p w:rsidR="00000000" w:rsidRPr="00D80FAC" w:rsidP="00D80FAC">
      <w:pPr>
        <w:pStyle w:val="ListBullet3"/>
      </w:pPr>
      <w:r w:rsidRPr="00D80FAC">
        <w:t>pre-checks for balancing: hydration, central and governing meridians, switching/overload</w:t>
      </w:r>
    </w:p>
    <w:p w:rsidR="00000000" w:rsidRPr="00D80FAC" w:rsidP="00D80FAC">
      <w:pPr>
        <w:pStyle w:val="ListBullet3"/>
      </w:pPr>
      <w:r w:rsidRPr="00D80FAC">
        <w:t>stress statements, goals and affirmations, including reactive stress process</w:t>
      </w:r>
    </w:p>
    <w:p w:rsidR="00000000" w:rsidRPr="00D80FAC" w:rsidP="00D80FAC">
      <w:pPr>
        <w:pStyle w:val="ListBullet3"/>
      </w:pPr>
      <w:r w:rsidRPr="00D80FAC">
        <w:t>use of scan lists</w:t>
      </w:r>
    </w:p>
    <w:p w:rsidR="00000000" w:rsidRPr="00D80FAC" w:rsidP="00D80FAC">
      <w:pPr>
        <w:pStyle w:val="ListBullet3"/>
      </w:pPr>
      <w:r w:rsidRPr="00D80FAC">
        <w:t>age recession using muscle monitoring</w:t>
      </w:r>
    </w:p>
    <w:p w:rsidR="00000000" w:rsidRPr="00D80FAC" w:rsidP="00D80FAC">
      <w:pPr>
        <w:pStyle w:val="ListBullet3"/>
      </w:pPr>
      <w:r w:rsidRPr="00D80FAC">
        <w:t>balancing via a surrogate</w:t>
      </w:r>
    </w:p>
    <w:p w:rsidR="00000000" w:rsidRPr="00D80FAC" w:rsidP="00D80FAC">
      <w:pPr>
        <w:pStyle w:val="ListBullet3"/>
      </w:pPr>
      <w:r w:rsidRPr="00D80FAC">
        <w:t xml:space="preserve">polarity </w:t>
      </w:r>
    </w:p>
    <w:p w:rsidR="00000000" w:rsidRPr="00D80FAC" w:rsidP="00D80FAC">
      <w:pPr>
        <w:pStyle w:val="ListBullet"/>
      </w:pPr>
      <w:r w:rsidRPr="00D80FAC">
        <w:t>specific muscle balancing techniques, including:</w:t>
      </w:r>
    </w:p>
    <w:p w:rsidR="00000000" w:rsidRPr="00D80FAC" w:rsidP="00D80FAC">
      <w:pPr>
        <w:pStyle w:val="ListBullet2"/>
      </w:pPr>
      <w:r w:rsidRPr="00D80FAC">
        <w:t xml:space="preserve">proprioception: spindle cell mechanism and golgi tendon apparatus </w:t>
      </w:r>
    </w:p>
    <w:p w:rsidR="00000000" w:rsidRPr="00D80FAC" w:rsidP="00D80FAC">
      <w:pPr>
        <w:pStyle w:val="ListBullet2"/>
      </w:pPr>
      <w:r w:rsidRPr="00D80FAC">
        <w:t>reflexes including:</w:t>
      </w:r>
    </w:p>
    <w:p w:rsidR="00000000" w:rsidRPr="00D80FAC" w:rsidP="00D80FAC">
      <w:pPr>
        <w:pStyle w:val="ListBullet3"/>
      </w:pPr>
      <w:r w:rsidRPr="00D80FAC">
        <w:t>spinal</w:t>
      </w:r>
    </w:p>
    <w:p w:rsidR="00000000" w:rsidRPr="00D80FAC" w:rsidP="00D80FAC">
      <w:pPr>
        <w:pStyle w:val="ListBullet3"/>
      </w:pPr>
      <w:r w:rsidRPr="00D80FAC">
        <w:t xml:space="preserve">neurolymphatic </w:t>
      </w:r>
    </w:p>
    <w:p w:rsidR="00000000" w:rsidRPr="00D80FAC" w:rsidP="00D80FAC">
      <w:pPr>
        <w:pStyle w:val="ListBullet3"/>
      </w:pPr>
      <w:r w:rsidRPr="00D80FAC">
        <w:t>neurovascular</w:t>
      </w:r>
    </w:p>
    <w:p w:rsidR="00000000" w:rsidRPr="00D80FAC" w:rsidP="00D80FAC">
      <w:pPr>
        <w:pStyle w:val="ListBullet2"/>
      </w:pPr>
      <w:r w:rsidRPr="00D80FAC">
        <w:t>surrogate muscle balancing</w:t>
      </w:r>
    </w:p>
    <w:p w:rsidR="00000000" w:rsidRPr="00D80FAC" w:rsidP="00D80FAC">
      <w:pPr>
        <w:pStyle w:val="ListBullet2"/>
      </w:pPr>
      <w:r w:rsidRPr="00D80FAC">
        <w:t>balanc</w:t>
      </w:r>
      <w:r w:rsidRPr="00D80FAC">
        <w:t>ing unmonitorable muscles, tendons and ligaments</w:t>
      </w:r>
    </w:p>
    <w:p w:rsidR="00000000" w:rsidRPr="00D80FAC" w:rsidP="00D80FAC">
      <w:pPr>
        <w:pStyle w:val="ListBullet2"/>
      </w:pPr>
      <w:r w:rsidRPr="00D80FAC">
        <w:t>muscle stretch</w:t>
      </w:r>
    </w:p>
    <w:p w:rsidR="00000000" w:rsidRPr="00D80FAC" w:rsidP="00D80FAC">
      <w:pPr>
        <w:pStyle w:val="ListBullet2"/>
      </w:pPr>
      <w:r w:rsidRPr="00D80FAC">
        <w:t>repeated/sustained muscle imbalance</w:t>
      </w:r>
    </w:p>
    <w:p w:rsidR="00000000" w:rsidRPr="00D80FAC" w:rsidP="00D80FAC">
      <w:pPr>
        <w:pStyle w:val="ListBullet2"/>
      </w:pPr>
      <w:r w:rsidRPr="00D80FAC">
        <w:t>reactive muscle patterns</w:t>
      </w:r>
    </w:p>
    <w:p w:rsidR="00000000" w:rsidRPr="00D80FAC" w:rsidP="00D80FAC">
      <w:pPr>
        <w:pStyle w:val="ListBullet"/>
      </w:pPr>
      <w:r w:rsidRPr="00D80FAC">
        <w:t>structural balancing techniques, including:</w:t>
      </w:r>
    </w:p>
    <w:p w:rsidR="00000000" w:rsidRPr="00D80FAC" w:rsidP="00D80FAC">
      <w:pPr>
        <w:pStyle w:val="ListBullet2"/>
      </w:pPr>
      <w:r w:rsidRPr="00D80FAC">
        <w:t>posture analysis balancing</w:t>
      </w:r>
    </w:p>
    <w:p w:rsidR="00000000" w:rsidRPr="00D80FAC" w:rsidP="00D80FAC">
      <w:pPr>
        <w:pStyle w:val="ListBullet2"/>
      </w:pPr>
      <w:r w:rsidRPr="00D80FAC">
        <w:t>balancing regions of the physical body including the neck, lower back, upper back, pelvis, neck and jaw</w:t>
      </w:r>
    </w:p>
    <w:p w:rsidR="00000000" w:rsidRPr="00D80FAC" w:rsidP="00D80FAC">
      <w:pPr>
        <w:pStyle w:val="ListBullet2"/>
      </w:pPr>
      <w:r w:rsidRPr="00D80FAC">
        <w:t>joints, including the knee, hip, shoulder and temporomandibular joints (TMJ)</w:t>
      </w:r>
    </w:p>
    <w:p w:rsidR="00000000" w:rsidRPr="00D80FAC" w:rsidP="00D80FAC">
      <w:pPr>
        <w:pStyle w:val="ListBullet2"/>
      </w:pPr>
      <w:r w:rsidRPr="00D80FAC">
        <w:t xml:space="preserve">gait reflexes </w:t>
      </w:r>
    </w:p>
    <w:p w:rsidR="00000000" w:rsidRPr="00D80FAC" w:rsidP="00D80FAC">
      <w:pPr>
        <w:pStyle w:val="ListBullet2"/>
      </w:pPr>
      <w:r w:rsidRPr="00D80FAC">
        <w:t xml:space="preserve">righting reflexes or cloacals </w:t>
      </w:r>
    </w:p>
    <w:p w:rsidR="00000000" w:rsidRPr="00D80FAC" w:rsidP="00D80FAC">
      <w:pPr>
        <w:pStyle w:val="ListBullet2"/>
      </w:pPr>
      <w:r w:rsidRPr="00D80FAC">
        <w:t>cranial imbalances</w:t>
      </w:r>
    </w:p>
    <w:p w:rsidR="00000000" w:rsidRPr="00D80FAC" w:rsidP="00D80FAC">
      <w:pPr>
        <w:pStyle w:val="ListBullet2"/>
      </w:pPr>
      <w:r w:rsidRPr="00D80FAC">
        <w:t>structural</w:t>
      </w:r>
      <w:r w:rsidRPr="00D80FAC">
        <w:t xml:space="preserve"> deviations</w:t>
      </w:r>
    </w:p>
    <w:p w:rsidR="00000000" w:rsidRPr="00D80FAC" w:rsidP="00D80FAC">
      <w:pPr>
        <w:pStyle w:val="ListBullet"/>
      </w:pPr>
      <w:r w:rsidRPr="00D80FAC">
        <w:t xml:space="preserve">neurological balancing techniques, including: </w:t>
      </w:r>
    </w:p>
    <w:p w:rsidR="00000000" w:rsidRPr="00D80FAC" w:rsidP="00D80FAC">
      <w:pPr>
        <w:pStyle w:val="ListBullet2"/>
      </w:pPr>
      <w:r w:rsidRPr="00D80FAC">
        <w:t>central and governing meridian circuit</w:t>
      </w:r>
    </w:p>
    <w:p w:rsidR="00000000" w:rsidRPr="00D80FAC" w:rsidP="00D80FAC">
      <w:pPr>
        <w:pStyle w:val="ListBullet2"/>
      </w:pPr>
      <w:r w:rsidRPr="00D80FAC">
        <w:t>neurological disorganisation</w:t>
      </w:r>
    </w:p>
    <w:p w:rsidR="00000000" w:rsidRPr="00D80FAC" w:rsidP="00D80FAC">
      <w:pPr>
        <w:pStyle w:val="ListBullet2"/>
      </w:pPr>
      <w:r w:rsidRPr="00D80FAC">
        <w:t>cross crawl integration</w:t>
      </w:r>
    </w:p>
    <w:p w:rsidR="00000000" w:rsidRPr="00D80FAC" w:rsidP="00D80FAC">
      <w:pPr>
        <w:pStyle w:val="ListBullet2"/>
      </w:pPr>
      <w:r w:rsidRPr="00D80FAC">
        <w:t>fight/flight survival responses</w:t>
      </w:r>
    </w:p>
    <w:p w:rsidR="00000000" w:rsidRPr="00D80FAC" w:rsidP="00D80FAC">
      <w:pPr>
        <w:pStyle w:val="ListBullet2"/>
      </w:pPr>
      <w:r w:rsidRPr="00D80FAC">
        <w:t>neurological integration</w:t>
      </w:r>
    </w:p>
    <w:p w:rsidR="00000000" w:rsidRPr="00D80FAC" w:rsidP="00D80FAC">
      <w:pPr>
        <w:pStyle w:val="ListBullet"/>
      </w:pPr>
      <w:r w:rsidRPr="00D80FAC">
        <w:t>emotional balancing techniques, including:</w:t>
      </w:r>
    </w:p>
    <w:p w:rsidR="00000000" w:rsidRPr="00D80FAC" w:rsidP="00D80FAC">
      <w:pPr>
        <w:pStyle w:val="ListBullet2"/>
      </w:pPr>
      <w:r w:rsidRPr="00D80FAC">
        <w:t>e</w:t>
      </w:r>
      <w:r w:rsidRPr="00D80FAC">
        <w:t>motional stress release</w:t>
      </w:r>
    </w:p>
    <w:p w:rsidR="00000000" w:rsidRPr="00D80FAC" w:rsidP="00D80FAC">
      <w:pPr>
        <w:pStyle w:val="ListBullet2"/>
      </w:pPr>
      <w:r w:rsidRPr="00D80FAC">
        <w:t>emotional defusion techniques</w:t>
      </w:r>
    </w:p>
    <w:p w:rsidR="00000000" w:rsidRPr="00D80FAC" w:rsidP="00D80FAC">
      <w:pPr>
        <w:pStyle w:val="ListBullet2"/>
      </w:pPr>
      <w:r w:rsidRPr="00D80FAC">
        <w:t>using lists of emotions</w:t>
      </w:r>
    </w:p>
    <w:p w:rsidR="00000000" w:rsidRPr="00D80FAC" w:rsidP="00D80FAC">
      <w:pPr>
        <w:pStyle w:val="ListBullet2"/>
      </w:pPr>
      <w:r w:rsidRPr="00D80FAC">
        <w:t>visualisations/imagery</w:t>
      </w:r>
    </w:p>
    <w:p w:rsidR="00000000" w:rsidRPr="00D80FAC" w:rsidP="00D80FAC">
      <w:pPr>
        <w:pStyle w:val="ListBullet2"/>
      </w:pPr>
      <w:r w:rsidRPr="00D80FAC">
        <w:t>psychological reversals</w:t>
      </w:r>
    </w:p>
    <w:p w:rsidR="00000000" w:rsidRPr="00D80FAC" w:rsidP="00D80FAC">
      <w:pPr>
        <w:pStyle w:val="ListBullet2"/>
      </w:pPr>
      <w:r w:rsidRPr="00D80FAC">
        <w:t>addressing fears and phobias</w:t>
      </w:r>
    </w:p>
    <w:p w:rsidR="00000000" w:rsidRPr="00D80FAC" w:rsidP="00D80FAC">
      <w:pPr>
        <w:pStyle w:val="ListBullet"/>
      </w:pPr>
      <w:r w:rsidRPr="00D80FAC">
        <w:t>vibrational balancing techniques, including:</w:t>
      </w:r>
    </w:p>
    <w:p w:rsidR="00000000" w:rsidRPr="00D80FAC" w:rsidP="00D80FAC">
      <w:pPr>
        <w:pStyle w:val="ListBullet2"/>
      </w:pPr>
      <w:r w:rsidRPr="00D80FAC">
        <w:t>use of vibrational essences</w:t>
      </w:r>
    </w:p>
    <w:p w:rsidR="00000000" w:rsidRPr="00D80FAC" w:rsidP="00D80FAC">
      <w:pPr>
        <w:pStyle w:val="ListBullet2"/>
      </w:pPr>
      <w:r w:rsidRPr="00D80FAC">
        <w:t>use of colour and sound in balancing</w:t>
      </w:r>
    </w:p>
    <w:p w:rsidR="00000000" w:rsidRPr="00D80FAC" w:rsidP="00D80FAC">
      <w:pPr>
        <w:pStyle w:val="ListBullet2"/>
      </w:pPr>
      <w:r w:rsidRPr="00D80FAC">
        <w:t>balancing the human subtle energy systems including the acupuncture meridian system, chakras, figure 8 energy flows and the aura</w:t>
      </w:r>
    </w:p>
    <w:p w:rsidR="00000000" w:rsidRPr="00D80FAC" w:rsidP="00D80FAC">
      <w:pPr>
        <w:pStyle w:val="ListBullet2"/>
      </w:pPr>
      <w:r w:rsidRPr="00D80FAC">
        <w:t>balancing meridians and acupressure points including the use of the law of 5 elements</w:t>
      </w:r>
    </w:p>
    <w:p w:rsidR="00000000" w:rsidRPr="00D80FAC" w:rsidP="00D80FAC">
      <w:pPr>
        <w:pStyle w:val="ListBullet"/>
      </w:pPr>
      <w:r w:rsidRPr="00D80FAC">
        <w:t>nut</w:t>
      </w:r>
      <w:r w:rsidRPr="00D80FAC">
        <w:t>ritional balancing techniques, including:</w:t>
      </w:r>
    </w:p>
    <w:p w:rsidR="00000000" w:rsidRPr="00D80FAC" w:rsidP="00D80FAC">
      <w:pPr>
        <w:pStyle w:val="ListBullet2"/>
      </w:pPr>
      <w:r w:rsidRPr="00D80FAC">
        <w:t>food sensitivity monitoring</w:t>
      </w:r>
    </w:p>
    <w:p w:rsidR="00000000" w:rsidRPr="00D80FAC" w:rsidP="00D80FAC">
      <w:pPr>
        <w:pStyle w:val="ListBullet2"/>
      </w:pPr>
      <w:r w:rsidRPr="00D80FAC">
        <w:t>food sensitivity/intolerance balancing</w:t>
      </w:r>
    </w:p>
    <w:p w:rsidR="00000000" w:rsidRPr="00D80FAC" w:rsidP="00D80FAC">
      <w:pPr>
        <w:pStyle w:val="ListBullet2"/>
      </w:pPr>
      <w:r w:rsidRPr="00D80FAC">
        <w:t>balancing biochemical factors including hydration, dysglycemic, absorption of nutrients, and bioavailability of nutrients</w:t>
      </w:r>
    </w:p>
    <w:p w:rsidR="00000000" w:rsidRPr="00D80FAC" w:rsidP="00D80FAC">
      <w:pPr>
        <w:pStyle w:val="ListBullet2"/>
      </w:pPr>
      <w:r w:rsidRPr="00D80FAC">
        <w:t>toxin elimination balanc</w:t>
      </w:r>
      <w:r w:rsidRPr="00D80FAC">
        <w:t>ing</w:t>
      </w:r>
    </w:p>
    <w:p w:rsidR="00000000" w:rsidRPr="00D80FAC" w:rsidP="00D80FAC">
      <w:pPr>
        <w:pStyle w:val="ListBullet2"/>
      </w:pPr>
      <w:r w:rsidRPr="00D80FAC">
        <w:t>balancing to support detoxification</w:t>
      </w:r>
    </w:p>
    <w:p w:rsidR="00000000" w:rsidRPr="00D80FAC" w:rsidP="00D80FAC">
      <w:pPr>
        <w:pStyle w:val="ListBullet2"/>
      </w:pPr>
      <w:r w:rsidRPr="00D80FAC">
        <w:t>use of Riddler</w:t>
      </w:r>
      <w:r>
        <w:t>’</w:t>
      </w:r>
      <w:r w:rsidRPr="00D80FAC">
        <w:t>s and nutritional points in balancing</w:t>
      </w:r>
    </w:p>
    <w:p w:rsidR="00000000" w:rsidRPr="00D80FAC" w:rsidP="00D80FAC">
      <w:pPr>
        <w:pStyle w:val="ListBullet2"/>
      </w:pPr>
      <w:r w:rsidRPr="00D80FAC">
        <w:t>nutritional support and digestive disturbance balancing</w:t>
      </w:r>
    </w:p>
    <w:p w:rsidR="00000000" w:rsidRPr="00D80FAC" w:rsidP="00D80FAC">
      <w:pPr>
        <w:pStyle w:val="AllowPageBreak"/>
      </w:pPr>
    </w:p>
    <w:p w:rsidR="00000000" w:rsidRPr="00D80FAC" w:rsidP="00D80FAC">
      <w:pPr>
        <w:pStyle w:val="Heading1"/>
      </w:pPr>
      <w:bookmarkStart w:id="3" w:name="O_873282"/>
      <w:bookmarkEnd w:id="3"/>
      <w:r w:rsidRPr="00D80FAC">
        <w:t>Knowledge Evidence</w:t>
      </w:r>
    </w:p>
    <w:p w:rsidR="00000000" w:rsidRPr="00D80FAC" w:rsidP="00EF0E9C">
      <w:pPr>
        <w:pStyle w:val="BodyText"/>
      </w:pPr>
      <w:r w:rsidRPr="00D80FAC">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D80FAC">
        <w:t>of:</w:t>
      </w:r>
    </w:p>
    <w:p w:rsidR="00000000" w:rsidRPr="00D80FAC" w:rsidP="00D80FAC">
      <w:pPr>
        <w:pStyle w:val="ListBullet"/>
      </w:pPr>
      <w:r w:rsidRPr="00D80FAC">
        <w:t>legal and ethical considerations (national and state/territory) for client balancing:</w:t>
      </w:r>
    </w:p>
    <w:p w:rsidR="00000000" w:rsidRPr="00D80FAC" w:rsidP="00D80FAC">
      <w:pPr>
        <w:pStyle w:val="ListBullet2"/>
      </w:pPr>
      <w:r w:rsidRPr="00D80FAC">
        <w:t>codes of conduct</w:t>
      </w:r>
    </w:p>
    <w:p w:rsidR="00000000" w:rsidRPr="00D80FAC" w:rsidP="00D80FAC">
      <w:pPr>
        <w:pStyle w:val="ListBullet2"/>
      </w:pPr>
      <w:r w:rsidRPr="00D80FAC">
        <w:t>duty of care</w:t>
      </w:r>
    </w:p>
    <w:p w:rsidR="00000000" w:rsidRPr="00D80FAC" w:rsidP="00D80FAC">
      <w:pPr>
        <w:pStyle w:val="ListBullet2"/>
      </w:pPr>
      <w:r w:rsidRPr="00D80FAC">
        <w:t>informed consent</w:t>
      </w:r>
    </w:p>
    <w:p w:rsidR="00000000" w:rsidRPr="00D80FAC" w:rsidP="00D80FAC">
      <w:pPr>
        <w:pStyle w:val="ListBullet2"/>
      </w:pPr>
      <w:r w:rsidRPr="00D80FAC">
        <w:t>mandatory reporting</w:t>
      </w:r>
    </w:p>
    <w:p w:rsidR="00000000" w:rsidRPr="00D80FAC" w:rsidP="00D80FAC">
      <w:pPr>
        <w:pStyle w:val="ListBullet2"/>
      </w:pPr>
      <w:r w:rsidRPr="00D80FAC">
        <w:t xml:space="preserve">practitioner/client boundaries </w:t>
      </w:r>
    </w:p>
    <w:p w:rsidR="00000000" w:rsidRPr="00D80FAC" w:rsidP="00D80FAC">
      <w:pPr>
        <w:pStyle w:val="ListBullet2"/>
      </w:pPr>
      <w:r w:rsidRPr="00D80FAC">
        <w:t>privacy, confidentiality and disclosure</w:t>
      </w:r>
    </w:p>
    <w:p w:rsidR="00000000" w:rsidRPr="00D80FAC" w:rsidP="00D80FAC">
      <w:pPr>
        <w:pStyle w:val="ListBullet2"/>
      </w:pPr>
      <w:r w:rsidRPr="00D80FAC">
        <w:t>records management</w:t>
      </w:r>
    </w:p>
    <w:p w:rsidR="00000000" w:rsidRPr="00D80FAC" w:rsidP="00D80FAC">
      <w:pPr>
        <w:pStyle w:val="ListBullet2"/>
      </w:pPr>
      <w:r w:rsidRPr="00D80FAC">
        <w:t>work role boundaries</w:t>
      </w:r>
    </w:p>
    <w:p w:rsidR="00000000" w:rsidRPr="00D80FAC" w:rsidP="00D80FAC">
      <w:pPr>
        <w:pStyle w:val="ListBullet2"/>
      </w:pPr>
      <w:r w:rsidRPr="00D80FAC">
        <w:t>working within scope of practice</w:t>
      </w:r>
    </w:p>
    <w:p w:rsidR="00000000" w:rsidRPr="00D80FAC" w:rsidP="00D80FAC">
      <w:pPr>
        <w:pStyle w:val="ListBullet2"/>
      </w:pPr>
      <w:r w:rsidRPr="00D80FAC">
        <w:t>presenting symptoms that require referral to a medical practitioner</w:t>
      </w:r>
    </w:p>
    <w:p w:rsidR="00000000" w:rsidRPr="00D80FAC" w:rsidP="00D80FAC">
      <w:pPr>
        <w:pStyle w:val="ListBullet2"/>
      </w:pPr>
      <w:r w:rsidRPr="00D80FAC">
        <w:t>work health and safety</w:t>
      </w:r>
    </w:p>
    <w:p w:rsidR="00000000" w:rsidRPr="00D80FAC" w:rsidP="00D80FAC">
      <w:pPr>
        <w:pStyle w:val="ListBullet"/>
      </w:pPr>
      <w:r w:rsidRPr="00D80FAC">
        <w:t xml:space="preserve">the innate healing capacities of the body </w:t>
      </w:r>
    </w:p>
    <w:p w:rsidR="00000000" w:rsidRPr="00D80FAC" w:rsidP="00D80FAC">
      <w:pPr>
        <w:pStyle w:val="ListBullet"/>
      </w:pPr>
      <w:r w:rsidRPr="00D80FAC">
        <w:t>factors that may interfere with balancing:</w:t>
      </w:r>
    </w:p>
    <w:p w:rsidR="00000000" w:rsidRPr="00D80FAC" w:rsidP="00D80FAC">
      <w:pPr>
        <w:pStyle w:val="ListBullet2"/>
      </w:pPr>
      <w:r w:rsidRPr="00D80FAC">
        <w:t>over-facilitation</w:t>
      </w:r>
    </w:p>
    <w:p w:rsidR="00000000" w:rsidRPr="00D80FAC" w:rsidP="00D80FAC">
      <w:pPr>
        <w:pStyle w:val="ListBullet2"/>
      </w:pPr>
      <w:r w:rsidRPr="00D80FAC">
        <w:t>energ</w:t>
      </w:r>
      <w:r w:rsidRPr="00D80FAC">
        <w:t>y capacity and availability</w:t>
      </w:r>
    </w:p>
    <w:p w:rsidR="00000000" w:rsidRPr="00D80FAC" w:rsidP="00D80FAC">
      <w:pPr>
        <w:pStyle w:val="ListBullet2"/>
      </w:pPr>
      <w:r w:rsidRPr="00D80FAC">
        <w:t>energy blockage</w:t>
      </w:r>
    </w:p>
    <w:p w:rsidR="00000000" w:rsidRPr="00D80FAC" w:rsidP="00D80FAC">
      <w:pPr>
        <w:pStyle w:val="ListBullet2"/>
      </w:pPr>
      <w:r w:rsidRPr="00D80FAC">
        <w:t>suppression</w:t>
      </w:r>
    </w:p>
    <w:p w:rsidR="00000000" w:rsidRPr="00D80FAC" w:rsidP="00D80FAC">
      <w:pPr>
        <w:pStyle w:val="ListBullet2"/>
      </w:pPr>
      <w:r w:rsidRPr="00D80FAC">
        <w:t>willingness to change</w:t>
      </w:r>
    </w:p>
    <w:p w:rsidR="00000000" w:rsidRPr="00D80FAC" w:rsidP="00D80FAC">
      <w:pPr>
        <w:pStyle w:val="ListBullet"/>
      </w:pPr>
      <w:r w:rsidRPr="00D80FAC">
        <w:t>potential dangers for balancing, including dangers of placing food in the mouth during sensitivity testing</w:t>
      </w:r>
    </w:p>
    <w:p w:rsidR="00000000" w:rsidRPr="00D80FAC" w:rsidP="00D80FAC">
      <w:pPr>
        <w:pStyle w:val="ListBullet"/>
      </w:pPr>
      <w:r w:rsidRPr="00D80FAC">
        <w:t>potential reactions during balancing and how to respond:</w:t>
      </w:r>
    </w:p>
    <w:p w:rsidR="00000000" w:rsidRPr="00D80FAC" w:rsidP="00D80FAC">
      <w:pPr>
        <w:pStyle w:val="ListBullet2"/>
      </w:pPr>
      <w:r w:rsidRPr="00D80FAC">
        <w:t>discomfort</w:t>
      </w:r>
    </w:p>
    <w:p w:rsidR="00000000" w:rsidRPr="00D80FAC" w:rsidP="00D80FAC">
      <w:pPr>
        <w:pStyle w:val="ListBullet2"/>
      </w:pPr>
      <w:r w:rsidRPr="00D80FAC">
        <w:t>e</w:t>
      </w:r>
      <w:r w:rsidRPr="00D80FAC">
        <w:t>motional reactions</w:t>
      </w:r>
    </w:p>
    <w:p w:rsidR="00000000" w:rsidRPr="00D80FAC" w:rsidP="00D80FAC">
      <w:pPr>
        <w:pStyle w:val="ListBullet2"/>
      </w:pPr>
      <w:r w:rsidRPr="00D80FAC">
        <w:t>feedback - verbal, tactile, visual</w:t>
      </w:r>
    </w:p>
    <w:p w:rsidR="00000000" w:rsidRPr="00D80FAC" w:rsidP="00D80FAC">
      <w:pPr>
        <w:pStyle w:val="ListBullet2"/>
      </w:pPr>
      <w:r w:rsidRPr="00D80FAC">
        <w:t>deep relaxation</w:t>
      </w:r>
    </w:p>
    <w:p w:rsidR="00000000" w:rsidRPr="00D80FAC" w:rsidP="00D80FAC">
      <w:pPr>
        <w:pStyle w:val="ListBullet2"/>
      </w:pPr>
      <w:r w:rsidRPr="00D80FAC">
        <w:t>changes in body temperature</w:t>
      </w:r>
    </w:p>
    <w:p w:rsidR="00000000" w:rsidRPr="00D80FAC" w:rsidP="00D80FAC">
      <w:pPr>
        <w:pStyle w:val="ListBullet2"/>
      </w:pPr>
      <w:r w:rsidRPr="00D80FAC">
        <w:t xml:space="preserve">healing crisis </w:t>
      </w:r>
    </w:p>
    <w:p w:rsidR="00000000" w:rsidRPr="00D80FAC" w:rsidP="00D80FAC">
      <w:pPr>
        <w:pStyle w:val="ListBullet"/>
      </w:pPr>
      <w:r w:rsidRPr="00D80FAC">
        <w:t>methods of monitoring treatment progress, including:</w:t>
      </w:r>
    </w:p>
    <w:p w:rsidR="00000000" w:rsidRPr="00D80FAC" w:rsidP="00D80FAC">
      <w:pPr>
        <w:pStyle w:val="ListBullet2"/>
      </w:pPr>
      <w:r w:rsidRPr="00D80FAC">
        <w:t>client feedback</w:t>
      </w:r>
    </w:p>
    <w:p w:rsidR="00000000" w:rsidRPr="00D80FAC" w:rsidP="00D80FAC">
      <w:pPr>
        <w:pStyle w:val="ListBullet2"/>
      </w:pPr>
      <w:r w:rsidRPr="00D80FAC">
        <w:t>challenge correction/more mode</w:t>
      </w:r>
    </w:p>
    <w:p w:rsidR="00000000" w:rsidRPr="00D80FAC" w:rsidP="00D80FAC">
      <w:pPr>
        <w:pStyle w:val="ListBullet2"/>
      </w:pPr>
      <w:r w:rsidRPr="00D80FAC">
        <w:t>re-assessment of original issues</w:t>
      </w:r>
    </w:p>
    <w:p w:rsidR="00000000" w:rsidRPr="00D80FAC" w:rsidP="00D80FAC">
      <w:pPr>
        <w:pStyle w:val="ListBullet"/>
      </w:pPr>
      <w:r w:rsidRPr="00D80FAC">
        <w:t xml:space="preserve">types of reinforcement suggestions and resources that can be provided to clients for their use outside the clinical environment </w:t>
      </w:r>
    </w:p>
    <w:p w:rsidR="00000000" w:rsidRPr="00D80FAC" w:rsidP="00D80FAC">
      <w:pPr>
        <w:pStyle w:val="ListBullet"/>
      </w:pPr>
      <w:r w:rsidRPr="00D80FAC">
        <w:t>ways to respond to barriers to progress within a kinesiology framework</w:t>
      </w:r>
    </w:p>
    <w:p w:rsidR="00000000" w:rsidRPr="00D80FAC" w:rsidP="00D80FAC">
      <w:pPr>
        <w:pStyle w:val="ListBullet"/>
      </w:pPr>
      <w:r w:rsidRPr="00D80FAC">
        <w:t>muscle monitoring position and direction for at least 70</w:t>
      </w:r>
      <w:r w:rsidRPr="00D80FAC">
        <w:t xml:space="preserve"> muscles, including:</w:t>
      </w:r>
    </w:p>
    <w:p w:rsidR="00000000" w:rsidRPr="00D80FAC" w:rsidP="00D80FAC">
      <w:pPr>
        <w:pStyle w:val="ListBullet2"/>
      </w:pPr>
      <w:r w:rsidRPr="00D80FAC">
        <w:t>muscle origin</w:t>
      </w:r>
    </w:p>
    <w:p w:rsidR="00000000" w:rsidRPr="00D80FAC" w:rsidP="00D80FAC">
      <w:pPr>
        <w:pStyle w:val="ListBullet2"/>
      </w:pPr>
      <w:r w:rsidRPr="00D80FAC">
        <w:t>insertion</w:t>
      </w:r>
    </w:p>
    <w:p w:rsidR="00000000" w:rsidRPr="00D80FAC" w:rsidP="00D80FAC">
      <w:pPr>
        <w:pStyle w:val="ListBullet2"/>
      </w:pPr>
      <w:r w:rsidRPr="00D80FAC">
        <w:t>action</w:t>
      </w:r>
    </w:p>
    <w:p w:rsidR="00000000" w:rsidRPr="00D80FAC" w:rsidP="00D80FAC">
      <w:pPr>
        <w:pStyle w:val="ListBullet2"/>
      </w:pPr>
      <w:r w:rsidRPr="00D80FAC">
        <w:t>contraction</w:t>
      </w:r>
    </w:p>
    <w:p w:rsidR="00000000" w:rsidRPr="00D80FAC" w:rsidP="00D80FAC">
      <w:pPr>
        <w:pStyle w:val="ListBullet2"/>
      </w:pPr>
      <w:r w:rsidRPr="00D80FAC">
        <w:t>extension</w:t>
      </w:r>
    </w:p>
    <w:p w:rsidR="00000000" w:rsidRPr="00D80FAC" w:rsidP="00D80FAC">
      <w:pPr>
        <w:pStyle w:val="ListBullet2"/>
      </w:pPr>
      <w:r w:rsidRPr="00D80FAC">
        <w:t>range and direction of test</w:t>
      </w:r>
    </w:p>
    <w:p w:rsidR="00000000" w:rsidRPr="00D80FAC" w:rsidP="00D80FAC">
      <w:pPr>
        <w:pStyle w:val="ListBullet"/>
      </w:pPr>
      <w:r w:rsidRPr="00D80FAC">
        <w:t>general kinesiology techniques, why and how they are used:</w:t>
      </w:r>
    </w:p>
    <w:p w:rsidR="00000000" w:rsidRPr="00D80FAC" w:rsidP="00D80FAC">
      <w:pPr>
        <w:pStyle w:val="ListBullet2"/>
      </w:pPr>
      <w:r w:rsidRPr="00D80FAC">
        <w:t>pre-checks for balancing: hydration, central and governing meridians, switching/overload</w:t>
      </w:r>
    </w:p>
    <w:p w:rsidR="00000000" w:rsidRPr="00D80FAC" w:rsidP="00D80FAC">
      <w:pPr>
        <w:pStyle w:val="ListBullet2"/>
      </w:pPr>
      <w:r w:rsidRPr="00D80FAC">
        <w:t>str</w:t>
      </w:r>
      <w:r w:rsidRPr="00D80FAC">
        <w:t>ess statements, goals and affirmations, including reactive stress process</w:t>
      </w:r>
    </w:p>
    <w:p w:rsidR="00000000" w:rsidRPr="00D80FAC" w:rsidP="00D80FAC">
      <w:pPr>
        <w:pStyle w:val="ListBullet2"/>
      </w:pPr>
      <w:r w:rsidRPr="00D80FAC">
        <w:t>use of scan lists</w:t>
      </w:r>
    </w:p>
    <w:p w:rsidR="00000000" w:rsidRPr="00D80FAC" w:rsidP="00D80FAC">
      <w:pPr>
        <w:pStyle w:val="ListBullet2"/>
      </w:pPr>
      <w:r w:rsidRPr="00D80FAC">
        <w:t>age recession using muscle monitoring</w:t>
      </w:r>
    </w:p>
    <w:p w:rsidR="00000000" w:rsidRPr="00D80FAC" w:rsidP="00D80FAC">
      <w:pPr>
        <w:pStyle w:val="ListBullet2"/>
      </w:pPr>
      <w:r w:rsidRPr="00D80FAC">
        <w:t>balancing via a surrogate</w:t>
      </w:r>
    </w:p>
    <w:p w:rsidR="00000000" w:rsidRPr="00D80FAC" w:rsidP="00D80FAC">
      <w:pPr>
        <w:pStyle w:val="ListBullet2"/>
      </w:pPr>
      <w:r w:rsidRPr="00D80FAC">
        <w:t xml:space="preserve">polarity </w:t>
      </w:r>
    </w:p>
    <w:p w:rsidR="00000000" w:rsidRPr="00D80FAC" w:rsidP="00D80FAC">
      <w:pPr>
        <w:pStyle w:val="ListBullet"/>
      </w:pPr>
      <w:r w:rsidRPr="00D80FAC">
        <w:t>specific muscle balancing techniques, why and how they are used:</w:t>
      </w:r>
    </w:p>
    <w:p w:rsidR="00000000" w:rsidRPr="00D80FAC" w:rsidP="00D80FAC">
      <w:pPr>
        <w:pStyle w:val="ListBullet2"/>
      </w:pPr>
      <w:r w:rsidRPr="00D80FAC">
        <w:t>proprioception: spindle</w:t>
      </w:r>
      <w:r w:rsidRPr="00D80FAC">
        <w:t xml:space="preserve"> cell mechanism and golgi tendon apparatus </w:t>
      </w:r>
    </w:p>
    <w:p w:rsidR="00000000" w:rsidRPr="00D80FAC" w:rsidP="00D80FAC">
      <w:pPr>
        <w:pStyle w:val="ListBullet2"/>
      </w:pPr>
      <w:r w:rsidRPr="00D80FAC">
        <w:t>reflexes including:</w:t>
      </w:r>
    </w:p>
    <w:p w:rsidR="00000000" w:rsidRPr="00D80FAC" w:rsidP="00D80FAC">
      <w:pPr>
        <w:pStyle w:val="ListBullet3"/>
      </w:pPr>
      <w:r w:rsidRPr="00D80FAC">
        <w:t>spinal</w:t>
      </w:r>
    </w:p>
    <w:p w:rsidR="00000000" w:rsidRPr="00D80FAC" w:rsidP="00D80FAC">
      <w:pPr>
        <w:pStyle w:val="ListBullet3"/>
      </w:pPr>
      <w:r w:rsidRPr="00D80FAC">
        <w:t xml:space="preserve">neurolymphatic </w:t>
      </w:r>
    </w:p>
    <w:p w:rsidR="00000000" w:rsidRPr="00D80FAC" w:rsidP="00D80FAC">
      <w:pPr>
        <w:pStyle w:val="ListBullet3"/>
      </w:pPr>
      <w:r w:rsidRPr="00D80FAC">
        <w:t>neurovascular</w:t>
      </w:r>
    </w:p>
    <w:p w:rsidR="00000000" w:rsidRPr="00D80FAC" w:rsidP="00D80FAC">
      <w:pPr>
        <w:pStyle w:val="ListBullet2"/>
      </w:pPr>
      <w:r w:rsidRPr="00D80FAC">
        <w:t>surrogate muscle balancing</w:t>
      </w:r>
    </w:p>
    <w:p w:rsidR="00000000" w:rsidRPr="00D80FAC" w:rsidP="00D80FAC">
      <w:pPr>
        <w:pStyle w:val="ListBullet2"/>
      </w:pPr>
      <w:r w:rsidRPr="00D80FAC">
        <w:t>balancing unmonitorable muscles, tendons and ligaments</w:t>
      </w:r>
    </w:p>
    <w:p w:rsidR="00000000" w:rsidRPr="00D80FAC" w:rsidP="00D80FAC">
      <w:pPr>
        <w:pStyle w:val="ListBullet2"/>
      </w:pPr>
      <w:r w:rsidRPr="00D80FAC">
        <w:t>muscle stretch</w:t>
      </w:r>
    </w:p>
    <w:p w:rsidR="00000000" w:rsidRPr="00D80FAC" w:rsidP="00D80FAC">
      <w:pPr>
        <w:pStyle w:val="ListBullet2"/>
      </w:pPr>
      <w:r w:rsidRPr="00D80FAC">
        <w:t>repeated/sustained muscle imbalance</w:t>
      </w:r>
    </w:p>
    <w:p w:rsidR="00000000" w:rsidRPr="00D80FAC" w:rsidP="00D80FAC">
      <w:pPr>
        <w:pStyle w:val="ListBullet2"/>
      </w:pPr>
      <w:r w:rsidRPr="00D80FAC">
        <w:t>reactive muscle patterns</w:t>
      </w:r>
    </w:p>
    <w:p w:rsidR="00000000" w:rsidRPr="00D80FAC" w:rsidP="00D80FAC">
      <w:pPr>
        <w:pStyle w:val="ListBullet"/>
      </w:pPr>
      <w:r w:rsidRPr="00D80FAC">
        <w:t>structural balancing techniques , why and how they are used, including:</w:t>
      </w:r>
    </w:p>
    <w:p w:rsidR="00000000" w:rsidRPr="00D80FAC" w:rsidP="00D80FAC">
      <w:pPr>
        <w:pStyle w:val="ListBullet2"/>
      </w:pPr>
      <w:r w:rsidRPr="00D80FAC">
        <w:t xml:space="preserve">posture analysis balancing, </w:t>
      </w:r>
    </w:p>
    <w:p w:rsidR="00000000" w:rsidRPr="00D80FAC" w:rsidP="00D80FAC">
      <w:pPr>
        <w:pStyle w:val="ListBullet2"/>
      </w:pPr>
      <w:r w:rsidRPr="00D80FAC">
        <w:t>balancing regions of the physical body including the neck, lower back, upper back, pelvis, neck and jaw</w:t>
      </w:r>
    </w:p>
    <w:p w:rsidR="00000000" w:rsidRPr="00D80FAC" w:rsidP="00D80FAC">
      <w:pPr>
        <w:pStyle w:val="ListBullet2"/>
      </w:pPr>
      <w:r w:rsidRPr="00D80FAC">
        <w:t>joints, including the knee, hip, shoulder and TMJ</w:t>
      </w:r>
    </w:p>
    <w:p w:rsidR="00000000" w:rsidRPr="00D80FAC" w:rsidP="00D80FAC">
      <w:pPr>
        <w:pStyle w:val="ListBullet2"/>
      </w:pPr>
      <w:r w:rsidRPr="00D80FAC">
        <w:t xml:space="preserve">gait reflexes </w:t>
      </w:r>
    </w:p>
    <w:p w:rsidR="00000000" w:rsidRPr="00D80FAC" w:rsidP="00D80FAC">
      <w:pPr>
        <w:pStyle w:val="ListBullet2"/>
      </w:pPr>
      <w:r w:rsidRPr="00D80FAC">
        <w:t xml:space="preserve">righting reflexes or cloacals </w:t>
      </w:r>
    </w:p>
    <w:p w:rsidR="00000000" w:rsidRPr="00D80FAC" w:rsidP="00D80FAC">
      <w:pPr>
        <w:pStyle w:val="ListBullet2"/>
      </w:pPr>
      <w:r w:rsidRPr="00D80FAC">
        <w:t>cranial imbalances</w:t>
      </w:r>
    </w:p>
    <w:p w:rsidR="00000000" w:rsidRPr="00D80FAC" w:rsidP="00D80FAC">
      <w:pPr>
        <w:pStyle w:val="ListBullet2"/>
      </w:pPr>
      <w:r w:rsidRPr="00D80FAC">
        <w:t>structural deviations</w:t>
      </w:r>
    </w:p>
    <w:p w:rsidR="00000000" w:rsidRPr="00D80FAC" w:rsidP="00D80FAC">
      <w:pPr>
        <w:pStyle w:val="ListBullet"/>
      </w:pPr>
      <w:r w:rsidRPr="00D80FAC">
        <w:t xml:space="preserve">neurological balancing techniques, why and how they are used, including: </w:t>
      </w:r>
    </w:p>
    <w:p w:rsidR="00000000" w:rsidRPr="00D80FAC" w:rsidP="00D80FAC">
      <w:pPr>
        <w:pStyle w:val="ListBullet2"/>
      </w:pPr>
      <w:r w:rsidRPr="00D80FAC">
        <w:t>central and governing meridian circuit</w:t>
      </w:r>
    </w:p>
    <w:p w:rsidR="00000000" w:rsidRPr="00D80FAC" w:rsidP="00D80FAC">
      <w:pPr>
        <w:pStyle w:val="ListBullet2"/>
      </w:pPr>
      <w:r w:rsidRPr="00D80FAC">
        <w:t>neur</w:t>
      </w:r>
      <w:r w:rsidRPr="00D80FAC">
        <w:t>ological disorganisation</w:t>
      </w:r>
    </w:p>
    <w:p w:rsidR="00000000" w:rsidRPr="00D80FAC" w:rsidP="00D80FAC">
      <w:pPr>
        <w:pStyle w:val="ListBullet2"/>
      </w:pPr>
      <w:r w:rsidRPr="00D80FAC">
        <w:t>cross crawl integration</w:t>
      </w:r>
    </w:p>
    <w:p w:rsidR="00000000" w:rsidRPr="00D80FAC" w:rsidP="00D80FAC">
      <w:pPr>
        <w:pStyle w:val="ListBullet2"/>
      </w:pPr>
      <w:r w:rsidRPr="00D80FAC">
        <w:t>fight/flight survival responses</w:t>
      </w:r>
    </w:p>
    <w:p w:rsidR="00000000" w:rsidRPr="00D80FAC" w:rsidP="00D80FAC">
      <w:pPr>
        <w:pStyle w:val="ListBullet2"/>
      </w:pPr>
      <w:r w:rsidRPr="00D80FAC">
        <w:t>neurological integration</w:t>
      </w:r>
    </w:p>
    <w:p w:rsidR="00000000" w:rsidRPr="00D80FAC" w:rsidP="00D80FAC">
      <w:pPr>
        <w:pStyle w:val="ListBullet"/>
      </w:pPr>
      <w:r w:rsidRPr="00D80FAC">
        <w:t>emotional balancing techniques, why and how they are used, including:</w:t>
      </w:r>
    </w:p>
    <w:p w:rsidR="00000000" w:rsidRPr="00D80FAC" w:rsidP="00D80FAC">
      <w:pPr>
        <w:pStyle w:val="ListBullet2"/>
      </w:pPr>
      <w:r w:rsidRPr="00D80FAC">
        <w:t>emotional stress release</w:t>
      </w:r>
    </w:p>
    <w:p w:rsidR="00000000" w:rsidRPr="00D80FAC" w:rsidP="00D80FAC">
      <w:pPr>
        <w:pStyle w:val="ListBullet2"/>
      </w:pPr>
      <w:r w:rsidRPr="00D80FAC">
        <w:t>emotional defusion techniques</w:t>
      </w:r>
    </w:p>
    <w:p w:rsidR="00000000" w:rsidRPr="00D80FAC" w:rsidP="00D80FAC">
      <w:pPr>
        <w:pStyle w:val="ListBullet2"/>
      </w:pPr>
      <w:r w:rsidRPr="00D80FAC">
        <w:t>using lists of emotions</w:t>
      </w:r>
    </w:p>
    <w:p w:rsidR="00000000" w:rsidRPr="00D80FAC" w:rsidP="00D80FAC">
      <w:pPr>
        <w:pStyle w:val="ListBullet2"/>
      </w:pPr>
      <w:r w:rsidRPr="00D80FAC">
        <w:t>visualisations/imagery</w:t>
      </w:r>
    </w:p>
    <w:p w:rsidR="00000000" w:rsidRPr="00D80FAC" w:rsidP="00D80FAC">
      <w:pPr>
        <w:pStyle w:val="ListBullet2"/>
      </w:pPr>
      <w:r w:rsidRPr="00D80FAC">
        <w:t>psychological reversals</w:t>
      </w:r>
    </w:p>
    <w:p w:rsidR="00000000" w:rsidRPr="00D80FAC" w:rsidP="00D80FAC">
      <w:pPr>
        <w:pStyle w:val="ListBullet2"/>
      </w:pPr>
      <w:r w:rsidRPr="00D80FAC">
        <w:t>addressing fears and phobias</w:t>
      </w:r>
    </w:p>
    <w:p w:rsidR="00000000" w:rsidRPr="00D80FAC" w:rsidP="00D80FAC">
      <w:pPr>
        <w:pStyle w:val="ListBullet2"/>
      </w:pPr>
      <w:r w:rsidRPr="00D80FAC">
        <w:t>emotional impact on physical structure</w:t>
      </w:r>
    </w:p>
    <w:p w:rsidR="00000000" w:rsidRPr="00D80FAC" w:rsidP="00D80FAC">
      <w:pPr>
        <w:pStyle w:val="ListBullet"/>
      </w:pPr>
      <w:r w:rsidRPr="00D80FAC">
        <w:t>vibrational balancing techniques, why and how they are used, including:</w:t>
      </w:r>
    </w:p>
    <w:p w:rsidR="00000000" w:rsidRPr="00D80FAC" w:rsidP="00D80FAC">
      <w:pPr>
        <w:pStyle w:val="ListBullet2"/>
      </w:pPr>
      <w:r w:rsidRPr="00D80FAC">
        <w:t>vibrational essences</w:t>
      </w:r>
    </w:p>
    <w:p w:rsidR="00000000" w:rsidRPr="00D80FAC" w:rsidP="00D80FAC">
      <w:pPr>
        <w:pStyle w:val="ListBullet2"/>
      </w:pPr>
      <w:r w:rsidRPr="00D80FAC">
        <w:t>colour and sound in balancing</w:t>
      </w:r>
    </w:p>
    <w:p w:rsidR="00000000" w:rsidRPr="00D80FAC" w:rsidP="00D80FAC">
      <w:pPr>
        <w:pStyle w:val="ListBullet2"/>
      </w:pPr>
      <w:r w:rsidRPr="00D80FAC">
        <w:t>balancing the h</w:t>
      </w:r>
      <w:r w:rsidRPr="00D80FAC">
        <w:t>uman subtle energy systems including the acupuncture meridian system, chakras, figure 8 energy flows and the aura</w:t>
      </w:r>
    </w:p>
    <w:p w:rsidR="00000000" w:rsidRPr="00D80FAC" w:rsidP="00D80FAC">
      <w:pPr>
        <w:pStyle w:val="ListBullet2"/>
      </w:pPr>
      <w:r w:rsidRPr="00D80FAC">
        <w:t>balancing meridians and acupressure points including the use of the law of 5 elements</w:t>
      </w:r>
    </w:p>
    <w:p w:rsidR="00000000" w:rsidRPr="00D80FAC" w:rsidP="00D80FAC">
      <w:pPr>
        <w:pStyle w:val="ListBullet"/>
      </w:pPr>
      <w:r w:rsidRPr="00D80FAC">
        <w:t xml:space="preserve">nutritional balancing techniques, why and how they are </w:t>
      </w:r>
      <w:r w:rsidRPr="00D80FAC">
        <w:t>used, including:</w:t>
      </w:r>
    </w:p>
    <w:p w:rsidR="00000000" w:rsidRPr="00D80FAC" w:rsidP="00D80FAC">
      <w:pPr>
        <w:pStyle w:val="ListBullet2"/>
      </w:pPr>
      <w:r w:rsidRPr="00D80FAC">
        <w:t>food sensitivity monitoring</w:t>
      </w:r>
    </w:p>
    <w:p w:rsidR="00000000" w:rsidRPr="00D80FAC" w:rsidP="00D80FAC">
      <w:pPr>
        <w:pStyle w:val="ListBullet2"/>
      </w:pPr>
      <w:r w:rsidRPr="00D80FAC">
        <w:t>food sensitivity/intolerance balancing</w:t>
      </w:r>
    </w:p>
    <w:p w:rsidR="00000000" w:rsidRPr="00D80FAC" w:rsidP="00D80FAC">
      <w:pPr>
        <w:pStyle w:val="ListBullet2"/>
      </w:pPr>
      <w:r w:rsidRPr="00D80FAC">
        <w:t>balancing biochemical factors including hydration, dysglycemic, absorption of nutrients, and bioavailability of nutrients</w:t>
      </w:r>
    </w:p>
    <w:p w:rsidR="00000000" w:rsidRPr="00D80FAC" w:rsidP="00D80FAC">
      <w:pPr>
        <w:pStyle w:val="ListBullet2"/>
      </w:pPr>
      <w:r w:rsidRPr="00D80FAC">
        <w:t>toxin elimination balancing</w:t>
      </w:r>
    </w:p>
    <w:p w:rsidR="00000000" w:rsidRPr="00D80FAC" w:rsidP="00D80FAC">
      <w:pPr>
        <w:pStyle w:val="ListBullet2"/>
      </w:pPr>
      <w:r w:rsidRPr="00D80FAC">
        <w:t>balancing to support detoxification</w:t>
      </w:r>
    </w:p>
    <w:p w:rsidR="00000000" w:rsidRPr="00D80FAC" w:rsidP="00D80FAC">
      <w:pPr>
        <w:pStyle w:val="ListBullet2"/>
      </w:pPr>
      <w:r w:rsidRPr="00D80FAC">
        <w:t>use of Riddler</w:t>
      </w:r>
      <w:r>
        <w:t>’</w:t>
      </w:r>
      <w:r w:rsidRPr="00D80FAC">
        <w:t>s and nutritional points in balancing</w:t>
      </w:r>
    </w:p>
    <w:p w:rsidR="00000000" w:rsidRPr="00D80FAC" w:rsidP="00D80FAC">
      <w:pPr>
        <w:pStyle w:val="ListBullet2"/>
      </w:pPr>
      <w:r w:rsidRPr="00D80FAC">
        <w:t>nutritional support and digestive disturbance balancing</w:t>
      </w:r>
    </w:p>
    <w:p w:rsidR="00000000" w:rsidRPr="00D80FAC" w:rsidP="00D80FAC">
      <w:pPr>
        <w:pStyle w:val="ListBullet"/>
      </w:pPr>
      <w:r w:rsidRPr="00D80FAC">
        <w:t>cautious considerations of current supplementation</w:t>
      </w:r>
    </w:p>
    <w:p w:rsidR="00000000" w:rsidRPr="00D80FAC" w:rsidP="00D80FAC">
      <w:pPr>
        <w:pStyle w:val="ListBullet"/>
      </w:pPr>
      <w:r w:rsidRPr="00D80FAC">
        <w:t>boundaries of a kinesiologist’s role in relation to nutriti</w:t>
      </w:r>
      <w:r w:rsidRPr="00D80FAC">
        <w:t>on</w:t>
      </w:r>
    </w:p>
    <w:p w:rsidR="00000000" w:rsidRPr="00D80FAC" w:rsidP="00D80FAC">
      <w:pPr>
        <w:pStyle w:val="ListBullet"/>
      </w:pPr>
      <w:r w:rsidRPr="00D80FAC">
        <w:t>need for referral to dietician, herbalist, naturopath, or homeopath</w:t>
      </w:r>
    </w:p>
    <w:p w:rsidR="00000000" w:rsidRPr="00D80FAC" w:rsidP="00D80FAC">
      <w:pPr>
        <w:pStyle w:val="AllowPageBreak"/>
      </w:pPr>
    </w:p>
    <w:p w:rsidR="00000000" w:rsidRPr="00D80FAC" w:rsidP="00D80FAC">
      <w:pPr>
        <w:pStyle w:val="Heading1"/>
      </w:pPr>
      <w:bookmarkStart w:id="4" w:name="O_873281"/>
      <w:bookmarkEnd w:id="4"/>
      <w:r w:rsidRPr="00D80FAC">
        <w:t>Assessment Conditions</w:t>
      </w:r>
    </w:p>
    <w:p w:rsidR="00000000" w:rsidRPr="00D80FAC" w:rsidP="00EF0E9C">
      <w:pPr>
        <w:pStyle w:val="BodyText"/>
      </w:pPr>
      <w:r w:rsidRPr="00D80FAC">
        <w:t>Skills must have been demonstrated in the workplace or in a simulated clinical environment that reflects workplace conditions. The following condi</w:t>
      </w:r>
      <w:r w:rsidRPr="00D80FAC">
        <w:t xml:space="preserve">tions must be met for this unit: </w:t>
      </w:r>
    </w:p>
    <w:p w:rsidR="00000000" w:rsidRPr="00D80FAC" w:rsidP="00D80FAC">
      <w:pPr>
        <w:pStyle w:val="ListBullet"/>
      </w:pPr>
      <w:r w:rsidRPr="00D80FAC">
        <w:t xml:space="preserve">use of suitable facilities, equipment and resources, including: </w:t>
      </w:r>
    </w:p>
    <w:p w:rsidR="00000000" w:rsidRPr="00D80FAC" w:rsidP="00D80FAC">
      <w:pPr>
        <w:pStyle w:val="ListBullet2"/>
      </w:pPr>
      <w:r w:rsidRPr="00D80FAC">
        <w:t>client information – case history, treatment plan</w:t>
      </w:r>
    </w:p>
    <w:p w:rsidR="00000000" w:rsidRPr="00D80FAC" w:rsidP="00D80FAC">
      <w:pPr>
        <w:pStyle w:val="ListBullet2"/>
      </w:pPr>
      <w:r w:rsidRPr="00D80FAC">
        <w:t>private consultation area</w:t>
      </w:r>
    </w:p>
    <w:p w:rsidR="00000000" w:rsidRPr="00D80FAC" w:rsidP="00D80FAC">
      <w:pPr>
        <w:pStyle w:val="ListBullet2"/>
      </w:pPr>
      <w:r w:rsidRPr="00D80FAC">
        <w:t>massage/table and chair</w:t>
      </w:r>
    </w:p>
    <w:p w:rsidR="00000000" w:rsidRPr="00D80FAC" w:rsidP="00D80FAC">
      <w:pPr>
        <w:pStyle w:val="ListBullet2"/>
      </w:pPr>
      <w:r w:rsidRPr="00D80FAC">
        <w:t>reference manual</w:t>
      </w:r>
    </w:p>
    <w:p w:rsidR="00000000" w:rsidRPr="00D80FAC" w:rsidP="00D80FAC">
      <w:pPr>
        <w:pStyle w:val="ListBullet2"/>
      </w:pPr>
      <w:r w:rsidRPr="00D80FAC">
        <w:t>hand sanitiser and/or hot running water for washing hands</w:t>
      </w:r>
    </w:p>
    <w:p w:rsidR="00000000" w:rsidRPr="00D80FAC" w:rsidP="00D80FAC">
      <w:pPr>
        <w:pStyle w:val="ListBullet"/>
      </w:pPr>
      <w:r w:rsidRPr="00D80FAC">
        <w:t xml:space="preserve">modelling of industry operating conditions, including provision of services to the general public </w:t>
      </w:r>
    </w:p>
    <w:p w:rsidR="00000000" w:rsidRPr="00D80FAC" w:rsidP="00D80FAC">
      <w:pPr>
        <w:pStyle w:val="ListBullet"/>
      </w:pPr>
      <w:r w:rsidRPr="00D80FAC">
        <w:t xml:space="preserve">clinic supervision by a person who meets the assessor requirements outlined below for at least 50 </w:t>
      </w:r>
      <w:r w:rsidRPr="00D80FAC">
        <w:t>of the 200 hours of client consultations. The remaining 150 hours may be completed under the guidance of a mentor. The mentor must either meet the assessor requirements outlined below or be registered with an Australian professional body that represents ki</w:t>
      </w:r>
      <w:r w:rsidRPr="00D80FAC">
        <w:t xml:space="preserve">nesiologists as a mentor. </w:t>
      </w:r>
    </w:p>
    <w:p w:rsidR="00000000" w:rsidRPr="00D80FAC" w:rsidP="00D80FAC">
      <w:pPr>
        <w:pStyle w:val="BodyText"/>
      </w:pPr>
    </w:p>
    <w:p w:rsidR="00000000" w:rsidRPr="00D80FAC" w:rsidP="00EF0E9C">
      <w:pPr>
        <w:pStyle w:val="BodyText"/>
      </w:pPr>
      <w:r w:rsidRPr="00D80FAC">
        <w:t>Assessors must satisfy the Standards for Registered Training Organisations (RTOs) 2015/AQTF mandatory competency requirements for assessors.</w:t>
      </w:r>
    </w:p>
    <w:p w:rsidR="00000000" w:rsidRPr="00D80FAC" w:rsidP="00EF0E9C">
      <w:pPr>
        <w:pStyle w:val="BodyText"/>
      </w:pPr>
      <w:r w:rsidRPr="00D80FAC">
        <w:t>In addition, assessors must:</w:t>
      </w:r>
    </w:p>
    <w:p w:rsidR="00000000" w:rsidRPr="00D80FAC" w:rsidP="00D80FAC">
      <w:pPr>
        <w:pStyle w:val="ListBullet"/>
      </w:pPr>
      <w:r w:rsidRPr="00D80FAC">
        <w:t>have at least 2 years current clinical experience working</w:t>
      </w:r>
      <w:r w:rsidRPr="00D80FAC">
        <w:t xml:space="preserve"> as a kinesiologist providing services to the general public </w:t>
      </w:r>
    </w:p>
    <w:p w:rsidR="00000000" w:rsidRPr="00D80FAC" w:rsidP="00D80FAC">
      <w:pPr>
        <w:pStyle w:val="ListBullet"/>
      </w:pPr>
      <w:r w:rsidRPr="00D80FAC">
        <w:t>hold practising membership of an Australian professional body that represents kinesiologists</w:t>
      </w:r>
    </w:p>
    <w:p w:rsidR="00000000" w:rsidRPr="00D80FAC" w:rsidP="00D80FAC">
      <w:pPr>
        <w:pStyle w:val="ListBullet"/>
      </w:pPr>
      <w:r w:rsidRPr="00D80FAC">
        <w:t>fulfil the continuing professional development requirements of the professional body to which they be</w:t>
      </w:r>
      <w:r w:rsidRPr="00D80FAC">
        <w:t>long</w:t>
      </w:r>
    </w:p>
    <w:p w:rsidR="00000000" w:rsidRPr="00D80FAC" w:rsidP="00D80FAC">
      <w:pPr>
        <w:pStyle w:val="AllowPageBreak"/>
      </w:pPr>
    </w:p>
    <w:p w:rsidR="00000000" w:rsidRPr="00D80FAC" w:rsidP="00D80FAC">
      <w:pPr>
        <w:pStyle w:val="Heading1"/>
      </w:pPr>
      <w:bookmarkStart w:id="5" w:name="O_873292"/>
      <w:bookmarkEnd w:id="5"/>
      <w:r w:rsidRPr="00D80FAC">
        <w:t>Links</w:t>
      </w:r>
    </w:p>
    <w:p w:rsidR="00000000" w:rsidRPr="00D80FAC" w:rsidP="00EF0E9C">
      <w:pPr>
        <w:pStyle w:val="BodyText"/>
      </w:pPr>
      <w:r w:rsidRPr="00D80FA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71DDD">
        <w:rPr>
          <w:rStyle w:val="Hyperlink"/>
        </w:rPr>
        <w:t>https://vetnet.gov.au/Pages/TrainingDocs.aspx?q=ced1390f-48d9-4ab0-bd50-b015e5485705</w:t>
      </w:r>
      <w:r>
        <w:fldChar w:fldCharType="end"/>
      </w:r>
    </w:p>
    <w:p w:rsidR="00000000" w:rsidRPr="00D80FAC" w:rsidP="00D80FAC"/>
    <w:sectPr w:rsidSect="00D80F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F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FAC" w:rsidRPr="00EF0E9C" w:rsidP="00EF0E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F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E9C" w:rsidP="00D80F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F0E9C" w:rsidP="00D80FA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F0E9C" w:rsidP="00D80F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F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E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0FAC" w:rsidRPr="00EF0E9C" w:rsidP="00EF0E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F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E9C" w:rsidRPr="002D2AF8" w:rsidP="00D80FAC">
    <w:pPr>
      <w:pStyle w:val="Header"/>
      <w:framePr w:wrap="around"/>
    </w:pPr>
    <w:r>
      <w:fldChar w:fldCharType="begin"/>
    </w:r>
    <w:r>
      <w:instrText xml:space="preserve"> TITLE   \* MERGEFORMAT </w:instrText>
    </w:r>
    <w:r>
      <w:fldChar w:fldCharType="separate"/>
    </w:r>
    <w:r>
      <w:t>Assessment Requirements for HLTKIN004 Provide kinesiology balances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EF0E9C" w:rsidP="00D80F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5A71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2428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741C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F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0FAC"/>
    <w:pPr>
      <w:spacing w:before="360" w:after="60"/>
      <w:outlineLvl w:val="0"/>
    </w:pPr>
    <w:rPr>
      <w:sz w:val="32"/>
    </w:rPr>
  </w:style>
  <w:style w:type="paragraph" w:styleId="Heading2">
    <w:name w:val="heading 2"/>
    <w:basedOn w:val="HeadingBase"/>
    <w:next w:val="BodyText"/>
    <w:link w:val="Heading2Char"/>
    <w:qFormat/>
    <w:rsid w:val="00D80FAC"/>
    <w:pPr>
      <w:keepLines/>
      <w:spacing w:before="240" w:after="120"/>
      <w:outlineLvl w:val="1"/>
    </w:pPr>
    <w:rPr>
      <w:sz w:val="28"/>
      <w:szCs w:val="40"/>
    </w:rPr>
  </w:style>
  <w:style w:type="paragraph" w:styleId="Heading3">
    <w:name w:val="heading 3"/>
    <w:basedOn w:val="HeadingBase"/>
    <w:next w:val="BodyText"/>
    <w:link w:val="Heading3Char"/>
    <w:qFormat/>
    <w:rsid w:val="00D80FAC"/>
    <w:pPr>
      <w:spacing w:before="180" w:after="120"/>
      <w:outlineLvl w:val="2"/>
    </w:pPr>
    <w:rPr>
      <w:spacing w:val="-10"/>
      <w:kern w:val="32"/>
    </w:rPr>
  </w:style>
  <w:style w:type="paragraph" w:styleId="Heading4">
    <w:name w:val="heading 4"/>
    <w:basedOn w:val="HeadingBase"/>
    <w:next w:val="BodyText"/>
    <w:link w:val="Heading4Char"/>
    <w:qFormat/>
    <w:rsid w:val="00D80FAC"/>
    <w:pPr>
      <w:spacing w:before="160" w:after="120"/>
      <w:outlineLvl w:val="3"/>
    </w:pPr>
    <w:rPr>
      <w:sz w:val="22"/>
    </w:rPr>
  </w:style>
  <w:style w:type="paragraph" w:styleId="Heading5">
    <w:name w:val="heading 5"/>
    <w:basedOn w:val="HeadingBase"/>
    <w:next w:val="Normal"/>
    <w:link w:val="Heading5Char"/>
    <w:qFormat/>
    <w:rsid w:val="00D80FAC"/>
    <w:pPr>
      <w:spacing w:before="80"/>
      <w:outlineLvl w:val="4"/>
    </w:pPr>
    <w:rPr>
      <w:color w:val="918585"/>
      <w:sz w:val="20"/>
    </w:rPr>
  </w:style>
  <w:style w:type="paragraph" w:styleId="Heading6">
    <w:name w:val="heading 6"/>
    <w:basedOn w:val="HeadingBase"/>
    <w:next w:val="Normal"/>
    <w:link w:val="Heading6Char"/>
    <w:qFormat/>
    <w:rsid w:val="00D80FAC"/>
    <w:pPr>
      <w:spacing w:before="60"/>
      <w:outlineLvl w:val="5"/>
    </w:pPr>
    <w:rPr>
      <w:color w:val="918585"/>
      <w:sz w:val="20"/>
    </w:rPr>
  </w:style>
  <w:style w:type="paragraph" w:styleId="Heading7">
    <w:name w:val="heading 7"/>
    <w:basedOn w:val="Normal"/>
    <w:next w:val="Normal"/>
    <w:link w:val="Heading7Char"/>
    <w:qFormat/>
    <w:rsid w:val="00D80FAC"/>
    <w:pPr>
      <w:ind w:left="720"/>
      <w:outlineLvl w:val="6"/>
    </w:pPr>
    <w:rPr>
      <w:i/>
    </w:rPr>
  </w:style>
  <w:style w:type="paragraph" w:styleId="Heading8">
    <w:name w:val="heading 8"/>
    <w:basedOn w:val="Normal"/>
    <w:next w:val="Normal"/>
    <w:link w:val="Heading8Char"/>
    <w:qFormat/>
    <w:rsid w:val="00D80FAC"/>
    <w:pPr>
      <w:ind w:left="720"/>
      <w:outlineLvl w:val="7"/>
    </w:pPr>
    <w:rPr>
      <w:i/>
    </w:rPr>
  </w:style>
  <w:style w:type="paragraph" w:styleId="Heading9">
    <w:name w:val="heading 9"/>
    <w:basedOn w:val="Normal"/>
    <w:next w:val="Normal"/>
    <w:link w:val="Heading9Char"/>
    <w:qFormat/>
    <w:rsid w:val="00D80FAC"/>
    <w:pPr>
      <w:ind w:left="720"/>
      <w:outlineLvl w:val="8"/>
    </w:pPr>
    <w:rPr>
      <w:i/>
    </w:rPr>
  </w:style>
  <w:style w:type="character" w:default="1" w:styleId="DefaultParagraphFont">
    <w:name w:val="Default Paragraph Font"/>
    <w:uiPriority w:val="1"/>
    <w:unhideWhenUsed/>
    <w:rsid w:val="00D80F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0FAC"/>
  </w:style>
  <w:style w:type="character" w:customStyle="1" w:styleId="Heading1Char">
    <w:name w:val="Heading 1 Char"/>
    <w:basedOn w:val="DefaultParagraphFont"/>
    <w:link w:val="Heading1"/>
    <w:rsid w:val="00D80FAC"/>
    <w:rPr>
      <w:rFonts w:ascii="Times New Roman" w:eastAsia="Times New Roman" w:hAnsi="Times New Roman" w:cs="Times New Roman"/>
      <w:b/>
      <w:sz w:val="32"/>
      <w:szCs w:val="20"/>
      <w:lang w:eastAsia="en-US"/>
    </w:rPr>
  </w:style>
  <w:style w:type="paragraph" w:styleId="BodyText">
    <w:name w:val="Body Text"/>
    <w:basedOn w:val="Normal"/>
    <w:link w:val="BodyTextChar"/>
    <w:rsid w:val="00D80F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0FAC"/>
    <w:rPr>
      <w:rFonts w:ascii="Times New Roman" w:eastAsia="Times New Roman" w:hAnsi="Times New Roman" w:cs="Times New Roman"/>
      <w:sz w:val="24"/>
      <w:lang w:eastAsia="en-US"/>
    </w:rPr>
  </w:style>
  <w:style w:type="paragraph" w:styleId="ListBullet">
    <w:name w:val="List Bullet"/>
    <w:basedOn w:val="List"/>
    <w:rsid w:val="00D80FAC"/>
    <w:pPr>
      <w:numPr>
        <w:numId w:val="13"/>
      </w:numPr>
      <w:tabs>
        <w:tab w:val="clear" w:pos="340"/>
      </w:tabs>
      <w:spacing w:before="40" w:after="40"/>
    </w:pPr>
  </w:style>
  <w:style w:type="character" w:customStyle="1" w:styleId="SpecialBold">
    <w:name w:val="Special Bold"/>
    <w:basedOn w:val="DefaultParagraphFont"/>
    <w:rsid w:val="00D80FAC"/>
    <w:rPr>
      <w:b/>
      <w:spacing w:val="0"/>
    </w:rPr>
  </w:style>
  <w:style w:type="paragraph" w:styleId="ListBullet2">
    <w:name w:val="List Bullet 2"/>
    <w:basedOn w:val="List2"/>
    <w:rsid w:val="00D80FAC"/>
    <w:pPr>
      <w:numPr>
        <w:numId w:val="14"/>
      </w:numPr>
      <w:tabs>
        <w:tab w:val="clear" w:pos="680"/>
      </w:tabs>
    </w:pPr>
  </w:style>
  <w:style w:type="character" w:styleId="Emphasis">
    <w:name w:val="Emphasis"/>
    <w:basedOn w:val="DefaultParagraphFont"/>
    <w:qFormat/>
    <w:rsid w:val="00D80FAC"/>
    <w:rPr>
      <w:i/>
    </w:rPr>
  </w:style>
  <w:style w:type="paragraph" w:customStyle="1" w:styleId="SuperHeading">
    <w:name w:val="SuperHeading"/>
    <w:basedOn w:val="Normal"/>
    <w:rsid w:val="00D80FAC"/>
    <w:pPr>
      <w:spacing w:before="240" w:after="120"/>
      <w:outlineLvl w:val="0"/>
    </w:pPr>
    <w:rPr>
      <w:rFonts w:ascii="Times New Roman" w:hAnsi="Times New Roman"/>
      <w:b/>
      <w:sz w:val="32"/>
    </w:rPr>
  </w:style>
  <w:style w:type="paragraph" w:customStyle="1" w:styleId="AllowPageBreak">
    <w:name w:val="AllowPageBreak"/>
    <w:rsid w:val="00D80FA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80FAC"/>
    <w:pPr>
      <w:numPr>
        <w:numId w:val="3"/>
      </w:numPr>
      <w:tabs>
        <w:tab w:val="clear" w:pos="1021"/>
      </w:tabs>
      <w:ind w:left="1037" w:hanging="357"/>
    </w:pPr>
  </w:style>
  <w:style w:type="character" w:customStyle="1" w:styleId="Heading2Char">
    <w:name w:val="Heading 2 Char"/>
    <w:basedOn w:val="DefaultParagraphFont"/>
    <w:link w:val="Heading2"/>
    <w:rsid w:val="00D80F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0F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0F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0F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0F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0F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0F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0FAC"/>
    <w:rPr>
      <w:rFonts w:ascii="Courier New" w:eastAsia="Times New Roman" w:hAnsi="Courier New" w:cs="Times New Roman"/>
      <w:i/>
      <w:szCs w:val="20"/>
      <w:lang w:eastAsia="en-US"/>
    </w:rPr>
  </w:style>
  <w:style w:type="paragraph" w:customStyle="1" w:styleId="HeadingBase">
    <w:name w:val="Heading Base"/>
    <w:rsid w:val="00D80F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0FAC"/>
    <w:pPr>
      <w:tabs>
        <w:tab w:val="right" w:leader="dot" w:pos="9072"/>
      </w:tabs>
      <w:ind w:left="567"/>
    </w:pPr>
    <w:rPr>
      <w:szCs w:val="22"/>
    </w:rPr>
  </w:style>
  <w:style w:type="paragraph" w:customStyle="1" w:styleId="TOCBase">
    <w:name w:val="TOC Base"/>
    <w:rsid w:val="00D80F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0FAC"/>
    <w:pPr>
      <w:tabs>
        <w:tab w:val="right" w:leader="dot" w:pos="9072"/>
      </w:tabs>
      <w:spacing w:before="40" w:after="40"/>
      <w:ind w:left="284"/>
    </w:pPr>
    <w:rPr>
      <w:rFonts w:ascii="Times New Roman" w:hAnsi="Times New Roman"/>
    </w:rPr>
  </w:style>
  <w:style w:type="paragraph" w:styleId="TOC1">
    <w:name w:val="toc 1"/>
    <w:basedOn w:val="TOCBase"/>
    <w:next w:val="Normal"/>
    <w:rsid w:val="00D80F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0F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0FAC"/>
    <w:rPr>
      <w:rFonts w:ascii="Times New Roman" w:eastAsia="Times New Roman" w:hAnsi="Times New Roman" w:cs="Times New Roman"/>
      <w:sz w:val="16"/>
      <w:lang w:eastAsia="en-US"/>
    </w:rPr>
  </w:style>
  <w:style w:type="paragraph" w:styleId="Title">
    <w:name w:val="Title"/>
    <w:basedOn w:val="HeadingBase"/>
    <w:link w:val="TitleChar"/>
    <w:qFormat/>
    <w:rsid w:val="00D80FAC"/>
    <w:pPr>
      <w:spacing w:before="5040"/>
      <w:jc w:val="center"/>
    </w:pPr>
    <w:rPr>
      <w:sz w:val="48"/>
      <w:szCs w:val="72"/>
      <w:lang w:val="en-US"/>
    </w:rPr>
  </w:style>
  <w:style w:type="character" w:customStyle="1" w:styleId="TitleChar">
    <w:name w:val="Title Char"/>
    <w:basedOn w:val="DefaultParagraphFont"/>
    <w:link w:val="Title"/>
    <w:rsid w:val="00D80F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0FAC"/>
    <w:pPr>
      <w:tabs>
        <w:tab w:val="left" w:pos="3600"/>
        <w:tab w:val="left" w:pos="3958"/>
      </w:tabs>
    </w:pPr>
  </w:style>
  <w:style w:type="paragraph" w:styleId="List">
    <w:name w:val="List"/>
    <w:basedOn w:val="BodyText"/>
    <w:next w:val="BodyText"/>
    <w:rsid w:val="00D80FAC"/>
    <w:pPr>
      <w:tabs>
        <w:tab w:val="left" w:pos="340"/>
      </w:tabs>
      <w:spacing w:before="60" w:after="60"/>
      <w:ind w:left="340" w:hanging="340"/>
    </w:pPr>
  </w:style>
  <w:style w:type="paragraph" w:customStyle="1" w:styleId="Note">
    <w:name w:val="Note"/>
    <w:basedOn w:val="BodyText"/>
    <w:rsid w:val="00D80F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0FAC"/>
    <w:pPr>
      <w:framePr w:wrap="auto" w:hAnchor="text" w:y="6049"/>
    </w:pPr>
    <w:rPr>
      <w:color w:val="000000"/>
      <w:sz w:val="40"/>
    </w:rPr>
  </w:style>
  <w:style w:type="paragraph" w:customStyle="1" w:styleId="TOCTitle">
    <w:name w:val="TOCTitle"/>
    <w:basedOn w:val="Heading1"/>
    <w:rsid w:val="00D80FAC"/>
    <w:pPr>
      <w:spacing w:after="240"/>
      <w:jc w:val="center"/>
      <w:outlineLvl w:val="9"/>
    </w:pPr>
    <w:rPr>
      <w:caps/>
    </w:rPr>
  </w:style>
  <w:style w:type="paragraph" w:customStyle="1" w:styleId="Version">
    <w:name w:val="Version"/>
    <w:rsid w:val="00D80F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0FAC"/>
    <w:pPr>
      <w:keepNext w:val="0"/>
      <w:tabs>
        <w:tab w:val="right" w:pos="4176"/>
      </w:tabs>
      <w:ind w:left="198" w:hanging="198"/>
    </w:pPr>
    <w:rPr>
      <w:rFonts w:ascii="Garamond" w:hAnsi="Garamond"/>
    </w:rPr>
  </w:style>
  <w:style w:type="paragraph" w:styleId="IndexHeading">
    <w:name w:val="index heading"/>
    <w:basedOn w:val="Normal"/>
    <w:next w:val="Index1"/>
    <w:semiHidden/>
    <w:rsid w:val="00D80FAC"/>
    <w:pPr>
      <w:spacing w:before="120" w:after="120"/>
    </w:pPr>
    <w:rPr>
      <w:rFonts w:ascii="Arial" w:hAnsi="Arial"/>
      <w:b/>
      <w:color w:val="918585"/>
      <w:sz w:val="24"/>
    </w:rPr>
  </w:style>
  <w:style w:type="paragraph" w:styleId="Header">
    <w:name w:val="header"/>
    <w:basedOn w:val="Normal"/>
    <w:link w:val="HeaderChar"/>
    <w:rsid w:val="00D80F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0FAC"/>
    <w:rPr>
      <w:rFonts w:ascii="Times New Roman" w:eastAsia="Times New Roman" w:hAnsi="Times New Roman" w:cs="Times New Roman"/>
      <w:sz w:val="16"/>
      <w:szCs w:val="20"/>
      <w:lang w:val="en-GB" w:eastAsia="en-US"/>
    </w:rPr>
  </w:style>
  <w:style w:type="paragraph" w:customStyle="1" w:styleId="Chapter">
    <w:name w:val="Chapter"/>
    <w:basedOn w:val="Normal"/>
    <w:rsid w:val="00D80FAC"/>
    <w:pPr>
      <w:spacing w:before="240"/>
    </w:pPr>
    <w:rPr>
      <w:rFonts w:ascii="Times New Roman" w:hAnsi="Times New Roman"/>
      <w:smallCaps/>
      <w:spacing w:val="80"/>
      <w:sz w:val="28"/>
    </w:rPr>
  </w:style>
  <w:style w:type="paragraph" w:customStyle="1" w:styleId="InChapter">
    <w:name w:val="InChapter"/>
    <w:basedOn w:val="Heading3"/>
    <w:rsid w:val="00D80FAC"/>
    <w:pPr>
      <w:spacing w:after="240"/>
      <w:outlineLvl w:val="9"/>
    </w:pPr>
    <w:rPr>
      <w:noProof/>
    </w:rPr>
  </w:style>
  <w:style w:type="paragraph" w:styleId="Index2">
    <w:name w:val="index 2"/>
    <w:basedOn w:val="Normal"/>
    <w:next w:val="Normal"/>
    <w:semiHidden/>
    <w:rsid w:val="00D80FAC"/>
    <w:pPr>
      <w:tabs>
        <w:tab w:val="right" w:pos="4176"/>
      </w:tabs>
      <w:ind w:left="568" w:hanging="284"/>
    </w:pPr>
    <w:rPr>
      <w:rFonts w:ascii="Garamond" w:hAnsi="Garamond"/>
    </w:rPr>
  </w:style>
  <w:style w:type="paragraph" w:customStyle="1" w:styleId="Byline">
    <w:name w:val="Byline"/>
    <w:rsid w:val="00D80F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0FAC"/>
    <w:pPr>
      <w:tabs>
        <w:tab w:val="clear" w:pos="3600"/>
        <w:tab w:val="clear" w:pos="3958"/>
      </w:tabs>
      <w:jc w:val="right"/>
    </w:pPr>
  </w:style>
  <w:style w:type="paragraph" w:styleId="Caption">
    <w:name w:val="caption"/>
    <w:basedOn w:val="BodyText"/>
    <w:next w:val="Normal"/>
    <w:qFormat/>
    <w:rsid w:val="00D80FAC"/>
    <w:pPr>
      <w:framePr w:w="2268" w:hSpace="181" w:vSpace="181" w:wrap="around" w:vAnchor="text" w:hAnchor="page" w:x="1135" w:y="285" w:anchorLock="1"/>
    </w:pPr>
    <w:rPr>
      <w:i/>
    </w:rPr>
  </w:style>
  <w:style w:type="paragraph" w:customStyle="1" w:styleId="MiniTOCTitle">
    <w:name w:val="MiniTOCTitle"/>
    <w:basedOn w:val="Heading4"/>
    <w:rsid w:val="00D80FAC"/>
    <w:pPr>
      <w:spacing w:before="240"/>
      <w:outlineLvl w:val="9"/>
    </w:pPr>
    <w:rPr>
      <w:noProof/>
      <w:sz w:val="24"/>
    </w:rPr>
  </w:style>
  <w:style w:type="paragraph" w:customStyle="1" w:styleId="MiniTOCItem">
    <w:name w:val="MiniTOCItem"/>
    <w:basedOn w:val="ListBullet"/>
    <w:rsid w:val="00D80FAC"/>
    <w:pPr>
      <w:numPr>
        <w:numId w:val="0"/>
      </w:numPr>
      <w:tabs>
        <w:tab w:val="right" w:leader="dot" w:pos="6521"/>
      </w:tabs>
      <w:spacing w:before="0" w:after="0"/>
    </w:pPr>
  </w:style>
  <w:style w:type="paragraph" w:customStyle="1" w:styleId="TOFTitle">
    <w:name w:val="TOFTitle"/>
    <w:basedOn w:val="TOCTitle"/>
    <w:rsid w:val="00D80FAC"/>
  </w:style>
  <w:style w:type="paragraph" w:styleId="TableofFigures">
    <w:name w:val="table of figures"/>
    <w:basedOn w:val="Normal"/>
    <w:next w:val="Normal"/>
    <w:semiHidden/>
    <w:rsid w:val="00D80FAC"/>
    <w:pPr>
      <w:tabs>
        <w:tab w:val="right" w:leader="dot" w:pos="9072"/>
      </w:tabs>
      <w:ind w:left="970" w:hanging="403"/>
    </w:pPr>
    <w:rPr>
      <w:rFonts w:ascii="Times New Roman" w:hAnsi="Times New Roman"/>
      <w:b/>
    </w:rPr>
  </w:style>
  <w:style w:type="paragraph" w:styleId="ListNumber">
    <w:name w:val="List Number"/>
    <w:basedOn w:val="List"/>
    <w:rsid w:val="00D80FAC"/>
    <w:pPr>
      <w:numPr>
        <w:numId w:val="16"/>
      </w:numPr>
      <w:tabs>
        <w:tab w:val="clear" w:pos="340"/>
      </w:tabs>
    </w:pPr>
  </w:style>
  <w:style w:type="character" w:customStyle="1" w:styleId="WingdingSymbols">
    <w:name w:val="Wingding Symbols"/>
    <w:rsid w:val="00D80FAC"/>
    <w:rPr>
      <w:rFonts w:ascii="Wingdings" w:hAnsi="Wingdings"/>
    </w:rPr>
  </w:style>
  <w:style w:type="paragraph" w:customStyle="1" w:styleId="TableHeading">
    <w:name w:val="Table Heading"/>
    <w:basedOn w:val="HeadingBase"/>
    <w:rsid w:val="00D80FAC"/>
    <w:pPr>
      <w:keepLines/>
      <w:pBdr>
        <w:bottom w:val="single" w:sz="6" w:space="1" w:color="918585"/>
      </w:pBdr>
      <w:spacing w:before="240"/>
    </w:pPr>
  </w:style>
  <w:style w:type="character" w:customStyle="1" w:styleId="HotSpot">
    <w:name w:val="HotSpot"/>
    <w:rsid w:val="00D80FAC"/>
    <w:rPr>
      <w:color w:val="0033CC"/>
      <w:u w:val="none"/>
    </w:rPr>
  </w:style>
  <w:style w:type="paragraph" w:customStyle="1" w:styleId="BodyTextRight">
    <w:name w:val="Body Text Right"/>
    <w:basedOn w:val="BodyText"/>
    <w:rsid w:val="00D80FAC"/>
    <w:pPr>
      <w:spacing w:before="0" w:after="0"/>
      <w:jc w:val="right"/>
    </w:pPr>
  </w:style>
  <w:style w:type="paragraph" w:styleId="Index3">
    <w:name w:val="index 3"/>
    <w:basedOn w:val="ListNumber2"/>
    <w:next w:val="Normal"/>
    <w:semiHidden/>
    <w:rsid w:val="00D80FAC"/>
    <w:pPr>
      <w:numPr>
        <w:numId w:val="0"/>
      </w:numPr>
      <w:tabs>
        <w:tab w:val="right" w:leader="dot" w:pos="4176"/>
      </w:tabs>
    </w:pPr>
  </w:style>
  <w:style w:type="paragraph" w:styleId="ListNumber2">
    <w:name w:val="List Number 2"/>
    <w:basedOn w:val="List2"/>
    <w:rsid w:val="00D80FAC"/>
    <w:pPr>
      <w:numPr>
        <w:numId w:val="11"/>
      </w:numPr>
      <w:tabs>
        <w:tab w:val="clear" w:pos="1060"/>
      </w:tabs>
    </w:pPr>
  </w:style>
  <w:style w:type="paragraph" w:customStyle="1" w:styleId="MarginNote">
    <w:name w:val="Margin Note"/>
    <w:basedOn w:val="BodyText"/>
    <w:rsid w:val="00D80F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0F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0F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0FAC"/>
    <w:rPr>
      <w:sz w:val="32"/>
    </w:rPr>
  </w:style>
  <w:style w:type="paragraph" w:customStyle="1" w:styleId="HeadingProcedure">
    <w:name w:val="Heading Procedure"/>
    <w:basedOn w:val="HeadingBase"/>
    <w:next w:val="Normal"/>
    <w:rsid w:val="00D80FAC"/>
    <w:pPr>
      <w:tabs>
        <w:tab w:val="left" w:pos="0"/>
      </w:tabs>
      <w:spacing w:before="120" w:after="60"/>
    </w:pPr>
    <w:rPr>
      <w:i/>
      <w:color w:val="918585"/>
      <w:sz w:val="22"/>
    </w:rPr>
  </w:style>
  <w:style w:type="paragraph" w:customStyle="1" w:styleId="TableBodyText">
    <w:name w:val="Table Body Text"/>
    <w:basedOn w:val="BodyText"/>
    <w:rsid w:val="00D80FAC"/>
    <w:pPr>
      <w:spacing w:before="60" w:after="60"/>
    </w:pPr>
  </w:style>
  <w:style w:type="paragraph" w:styleId="ListContinue">
    <w:name w:val="List Continue"/>
    <w:basedOn w:val="List"/>
    <w:rsid w:val="00D80FAC"/>
    <w:pPr>
      <w:ind w:firstLine="0"/>
    </w:pPr>
  </w:style>
  <w:style w:type="paragraph" w:customStyle="1" w:styleId="ListNote">
    <w:name w:val="List Note"/>
    <w:basedOn w:val="List"/>
    <w:rsid w:val="00D80FAC"/>
    <w:pPr>
      <w:pBdr>
        <w:top w:val="single" w:sz="6" w:space="2" w:color="918585"/>
        <w:bottom w:val="single" w:sz="6" w:space="2" w:color="918585"/>
      </w:pBdr>
      <w:tabs>
        <w:tab w:val="left" w:pos="1021"/>
      </w:tabs>
      <w:ind w:firstLine="0"/>
    </w:pPr>
  </w:style>
  <w:style w:type="paragraph" w:customStyle="1" w:styleId="Warning">
    <w:name w:val="Warning"/>
    <w:basedOn w:val="BodyText"/>
    <w:rsid w:val="00D80FAC"/>
    <w:pPr>
      <w:shd w:val="clear" w:color="auto" w:fill="D9D9D9"/>
      <w:tabs>
        <w:tab w:val="left" w:pos="992"/>
      </w:tabs>
      <w:ind w:left="119" w:right="119"/>
    </w:pPr>
    <w:rPr>
      <w:sz w:val="20"/>
    </w:rPr>
  </w:style>
  <w:style w:type="paragraph" w:customStyle="1" w:styleId="MarginIcons">
    <w:name w:val="Margin Icons"/>
    <w:basedOn w:val="BodyText"/>
    <w:rsid w:val="00D80F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0FAC"/>
    <w:rPr>
      <w:rFonts w:ascii="Courier New" w:hAnsi="Courier New"/>
    </w:rPr>
  </w:style>
  <w:style w:type="paragraph" w:customStyle="1" w:styleId="NoteBullet">
    <w:name w:val="Note Bullet"/>
    <w:basedOn w:val="Note"/>
    <w:rsid w:val="00D80FAC"/>
    <w:pPr>
      <w:tabs>
        <w:tab w:val="clear" w:pos="680"/>
      </w:tabs>
      <w:spacing w:before="60" w:after="60"/>
    </w:pPr>
  </w:style>
  <w:style w:type="paragraph" w:customStyle="1" w:styleId="SubHeading2">
    <w:name w:val="SubHeading2"/>
    <w:basedOn w:val="HeadingBase"/>
    <w:rsid w:val="00D80FAC"/>
    <w:pPr>
      <w:spacing w:before="240" w:after="60"/>
    </w:pPr>
    <w:rPr>
      <w:sz w:val="20"/>
    </w:rPr>
  </w:style>
  <w:style w:type="paragraph" w:customStyle="1" w:styleId="SubHeading1">
    <w:name w:val="SubHeading1"/>
    <w:basedOn w:val="HeadingBase"/>
    <w:rsid w:val="00D80FAC"/>
    <w:pPr>
      <w:spacing w:before="240" w:after="60"/>
    </w:pPr>
    <w:rPr>
      <w:color w:val="918585"/>
      <w:sz w:val="22"/>
    </w:rPr>
  </w:style>
  <w:style w:type="paragraph" w:customStyle="1" w:styleId="SideHeading">
    <w:name w:val="Side Heading"/>
    <w:basedOn w:val="HeadingBase"/>
    <w:rsid w:val="00D80F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0FAC"/>
    <w:pPr>
      <w:numPr>
        <w:numId w:val="12"/>
      </w:numPr>
    </w:pPr>
  </w:style>
  <w:style w:type="paragraph" w:styleId="PlainText">
    <w:name w:val="Plain Text"/>
    <w:basedOn w:val="Normal"/>
    <w:link w:val="PlainTextChar"/>
    <w:rsid w:val="00D80FAC"/>
    <w:rPr>
      <w:sz w:val="20"/>
    </w:rPr>
  </w:style>
  <w:style w:type="character" w:customStyle="1" w:styleId="PlainTextChar">
    <w:name w:val="Plain Text Char"/>
    <w:basedOn w:val="DefaultParagraphFont"/>
    <w:link w:val="PlainText"/>
    <w:rsid w:val="00D80FAC"/>
    <w:rPr>
      <w:rFonts w:ascii="Courier New" w:eastAsia="Times New Roman" w:hAnsi="Courier New" w:cs="Times New Roman"/>
      <w:sz w:val="20"/>
      <w:szCs w:val="20"/>
      <w:lang w:eastAsia="en-US"/>
    </w:rPr>
  </w:style>
  <w:style w:type="character" w:customStyle="1" w:styleId="MenuOption">
    <w:name w:val="Menu Option"/>
    <w:basedOn w:val="DefaultParagraphFont"/>
    <w:rsid w:val="00D80FAC"/>
    <w:rPr>
      <w:b/>
      <w:smallCaps/>
    </w:rPr>
  </w:style>
  <w:style w:type="paragraph" w:customStyle="1" w:styleId="TableListNumber">
    <w:name w:val="Table List Number"/>
    <w:basedOn w:val="ListNumber"/>
    <w:rsid w:val="00D80FAC"/>
    <w:pPr>
      <w:numPr>
        <w:numId w:val="0"/>
      </w:numPr>
    </w:pPr>
  </w:style>
  <w:style w:type="paragraph" w:styleId="TOC4">
    <w:name w:val="toc 4"/>
    <w:basedOn w:val="TOCBase"/>
    <w:next w:val="Normal"/>
    <w:semiHidden/>
    <w:rsid w:val="00D80FAC"/>
    <w:pPr>
      <w:tabs>
        <w:tab w:val="right" w:leader="dot" w:pos="9071"/>
      </w:tabs>
      <w:ind w:left="1701"/>
    </w:pPr>
  </w:style>
  <w:style w:type="paragraph" w:customStyle="1" w:styleId="ListAlpha">
    <w:name w:val="List Alpha"/>
    <w:basedOn w:val="List"/>
    <w:rsid w:val="00D80FAC"/>
    <w:pPr>
      <w:numPr>
        <w:numId w:val="10"/>
      </w:numPr>
    </w:pPr>
  </w:style>
  <w:style w:type="paragraph" w:customStyle="1" w:styleId="ListAlpha2">
    <w:name w:val="List Alpha 2"/>
    <w:basedOn w:val="List2"/>
    <w:rsid w:val="00D80FAC"/>
    <w:pPr>
      <w:numPr>
        <w:numId w:val="9"/>
      </w:numPr>
    </w:pPr>
  </w:style>
  <w:style w:type="paragraph" w:styleId="List2">
    <w:name w:val="List 2"/>
    <w:basedOn w:val="BodyText"/>
    <w:rsid w:val="00D80FAC"/>
    <w:pPr>
      <w:tabs>
        <w:tab w:val="left" w:pos="680"/>
      </w:tabs>
      <w:spacing w:before="60" w:after="60"/>
      <w:ind w:left="680" w:hanging="340"/>
    </w:pPr>
  </w:style>
  <w:style w:type="paragraph" w:styleId="List3">
    <w:name w:val="List 3"/>
    <w:basedOn w:val="BodyText"/>
    <w:rsid w:val="00D80FAC"/>
    <w:pPr>
      <w:tabs>
        <w:tab w:val="left" w:pos="1021"/>
      </w:tabs>
      <w:spacing w:before="60" w:after="60"/>
      <w:ind w:left="1020" w:hanging="340"/>
    </w:pPr>
  </w:style>
  <w:style w:type="paragraph" w:styleId="List4">
    <w:name w:val="List 4"/>
    <w:basedOn w:val="BodyText"/>
    <w:rsid w:val="00D80FAC"/>
    <w:pPr>
      <w:tabs>
        <w:tab w:val="left" w:pos="1361"/>
      </w:tabs>
      <w:spacing w:before="60" w:after="60"/>
      <w:ind w:left="1361" w:hanging="340"/>
    </w:pPr>
  </w:style>
  <w:style w:type="paragraph" w:styleId="List5">
    <w:name w:val="List 5"/>
    <w:basedOn w:val="BodyText"/>
    <w:rsid w:val="00D80FAC"/>
    <w:pPr>
      <w:tabs>
        <w:tab w:val="left" w:pos="1701"/>
      </w:tabs>
      <w:spacing w:before="60" w:after="60"/>
      <w:ind w:left="1701" w:hanging="340"/>
    </w:pPr>
  </w:style>
  <w:style w:type="paragraph" w:styleId="ListBullet4">
    <w:name w:val="List Bullet 4"/>
    <w:basedOn w:val="List4"/>
    <w:rsid w:val="00D80FAC"/>
    <w:pPr>
      <w:numPr>
        <w:numId w:val="4"/>
      </w:numPr>
      <w:tabs>
        <w:tab w:val="clear" w:pos="1361"/>
      </w:tabs>
    </w:pPr>
  </w:style>
  <w:style w:type="paragraph" w:styleId="ListBullet5">
    <w:name w:val="List Bullet 5"/>
    <w:basedOn w:val="List5"/>
    <w:rsid w:val="00D80FAC"/>
    <w:pPr>
      <w:numPr>
        <w:numId w:val="5"/>
      </w:numPr>
    </w:pPr>
  </w:style>
  <w:style w:type="paragraph" w:styleId="ListContinue2">
    <w:name w:val="List Continue 2"/>
    <w:basedOn w:val="List2"/>
    <w:rsid w:val="00D80FAC"/>
    <w:pPr>
      <w:ind w:firstLine="0"/>
    </w:pPr>
  </w:style>
  <w:style w:type="paragraph" w:styleId="ListContinue3">
    <w:name w:val="List Continue 3"/>
    <w:basedOn w:val="List3"/>
    <w:rsid w:val="00D80FAC"/>
    <w:pPr>
      <w:ind w:left="1021" w:firstLine="0"/>
    </w:pPr>
  </w:style>
  <w:style w:type="paragraph" w:styleId="ListContinue4">
    <w:name w:val="List Continue 4"/>
    <w:basedOn w:val="List4"/>
    <w:rsid w:val="00D80FAC"/>
    <w:pPr>
      <w:ind w:firstLine="0"/>
    </w:pPr>
  </w:style>
  <w:style w:type="paragraph" w:styleId="ListContinue5">
    <w:name w:val="List Continue 5"/>
    <w:basedOn w:val="List5"/>
    <w:rsid w:val="00D80FAC"/>
    <w:pPr>
      <w:ind w:firstLine="0"/>
    </w:pPr>
  </w:style>
  <w:style w:type="paragraph" w:styleId="ListNumber3">
    <w:name w:val="List Number 3"/>
    <w:basedOn w:val="List3"/>
    <w:rsid w:val="00D80FAC"/>
    <w:pPr>
      <w:numPr>
        <w:numId w:val="6"/>
      </w:numPr>
    </w:pPr>
  </w:style>
  <w:style w:type="paragraph" w:styleId="ListNumber4">
    <w:name w:val="List Number 4"/>
    <w:basedOn w:val="List4"/>
    <w:rsid w:val="00D80FAC"/>
    <w:pPr>
      <w:numPr>
        <w:numId w:val="7"/>
      </w:numPr>
    </w:pPr>
  </w:style>
  <w:style w:type="paragraph" w:styleId="ListNumber5">
    <w:name w:val="List Number 5"/>
    <w:basedOn w:val="List5"/>
    <w:rsid w:val="00D80FAC"/>
    <w:pPr>
      <w:numPr>
        <w:numId w:val="8"/>
      </w:numPr>
    </w:pPr>
  </w:style>
  <w:style w:type="paragraph" w:styleId="BlockText">
    <w:name w:val="Block Text"/>
    <w:basedOn w:val="Normal"/>
    <w:rsid w:val="00D80FAC"/>
    <w:pPr>
      <w:spacing w:after="120"/>
      <w:ind w:left="1440" w:right="1440"/>
    </w:pPr>
  </w:style>
  <w:style w:type="character" w:customStyle="1" w:styleId="Subscript">
    <w:name w:val="Subscript"/>
    <w:basedOn w:val="DefaultParagraphFont"/>
    <w:rsid w:val="00D80FAC"/>
    <w:rPr>
      <w:sz w:val="16"/>
      <w:vertAlign w:val="subscript"/>
    </w:rPr>
  </w:style>
  <w:style w:type="character" w:customStyle="1" w:styleId="Superscript">
    <w:name w:val="Superscript"/>
    <w:basedOn w:val="DefaultParagraphFont"/>
    <w:rsid w:val="00D80FAC"/>
    <w:rPr>
      <w:sz w:val="16"/>
      <w:vertAlign w:val="superscript"/>
    </w:rPr>
  </w:style>
  <w:style w:type="character" w:customStyle="1" w:styleId="Symbols">
    <w:name w:val="Symbols"/>
    <w:basedOn w:val="DefaultParagraphFont"/>
    <w:rsid w:val="00D80FAC"/>
    <w:rPr>
      <w:rFonts w:ascii="Symbol" w:hAnsi="Symbol"/>
    </w:rPr>
  </w:style>
  <w:style w:type="character" w:customStyle="1" w:styleId="MenuOptions">
    <w:name w:val="Menu Options"/>
    <w:basedOn w:val="DefaultParagraphFont"/>
    <w:rsid w:val="00D80FAC"/>
    <w:rPr>
      <w:rFonts w:ascii="Arial Narrow" w:hAnsi="Arial Narrow"/>
      <w:smallCaps/>
    </w:rPr>
  </w:style>
  <w:style w:type="character" w:customStyle="1" w:styleId="Buttons">
    <w:name w:val="Buttons"/>
    <w:basedOn w:val="DefaultParagraphFont"/>
    <w:rsid w:val="00D80FAC"/>
    <w:rPr>
      <w:b/>
    </w:rPr>
  </w:style>
  <w:style w:type="character" w:customStyle="1" w:styleId="Underlined">
    <w:name w:val="Underlined"/>
    <w:basedOn w:val="DefaultParagraphFont"/>
    <w:rsid w:val="00D80FAC"/>
    <w:rPr>
      <w:u w:val="single"/>
    </w:rPr>
  </w:style>
  <w:style w:type="paragraph" w:customStyle="1" w:styleId="TableBodyTextRight">
    <w:name w:val="Table Body Text Right"/>
    <w:basedOn w:val="TableBodyText"/>
    <w:rsid w:val="00D80FAC"/>
    <w:pPr>
      <w:widowControl w:val="0"/>
      <w:autoSpaceDE w:val="0"/>
      <w:autoSpaceDN w:val="0"/>
      <w:adjustRightInd w:val="0"/>
      <w:jc w:val="right"/>
    </w:pPr>
    <w:rPr>
      <w:rFonts w:cs="Arial"/>
      <w:szCs w:val="18"/>
    </w:rPr>
  </w:style>
  <w:style w:type="paragraph" w:customStyle="1" w:styleId="CopyrightText">
    <w:name w:val="Copyright Text"/>
    <w:basedOn w:val="BodyText"/>
    <w:rsid w:val="00D80FAC"/>
    <w:rPr>
      <w:sz w:val="18"/>
    </w:rPr>
  </w:style>
  <w:style w:type="paragraph" w:customStyle="1" w:styleId="BodySmallRight">
    <w:name w:val="Body Small Right"/>
    <w:basedOn w:val="BodyTextRight"/>
    <w:rsid w:val="00D80FAC"/>
    <w:rPr>
      <w:sz w:val="18"/>
      <w:szCs w:val="18"/>
    </w:rPr>
  </w:style>
  <w:style w:type="paragraph" w:customStyle="1" w:styleId="MarginEdition">
    <w:name w:val="Margin Edition"/>
    <w:basedOn w:val="MarginNote"/>
    <w:rsid w:val="00D80FAC"/>
    <w:pPr>
      <w:spacing w:before="0" w:after="0"/>
    </w:pPr>
    <w:rPr>
      <w:rFonts w:ascii="Times New Roman" w:hAnsi="Times New Roman"/>
      <w:color w:val="999999"/>
    </w:rPr>
  </w:style>
  <w:style w:type="paragraph" w:customStyle="1" w:styleId="Spacer">
    <w:name w:val="Spacer"/>
    <w:basedOn w:val="Normal"/>
    <w:rsid w:val="00D80FAC"/>
    <w:rPr>
      <w:sz w:val="2"/>
      <w:szCs w:val="2"/>
    </w:rPr>
  </w:style>
  <w:style w:type="character" w:customStyle="1" w:styleId="Small">
    <w:name w:val="Small"/>
    <w:basedOn w:val="DefaultParagraphFont"/>
    <w:rsid w:val="00D80FAC"/>
    <w:rPr>
      <w:sz w:val="16"/>
    </w:rPr>
  </w:style>
  <w:style w:type="paragraph" w:customStyle="1" w:styleId="WideTable">
    <w:name w:val="Wide Table"/>
    <w:basedOn w:val="Normal"/>
    <w:rsid w:val="00D80FAC"/>
    <w:pPr>
      <w:ind w:left="-1418"/>
    </w:pPr>
    <w:rPr>
      <w:sz w:val="2"/>
      <w:szCs w:val="2"/>
    </w:rPr>
  </w:style>
  <w:style w:type="character" w:styleId="PageNumber">
    <w:name w:val="page number"/>
    <w:basedOn w:val="DefaultParagraphFont"/>
    <w:rsid w:val="00D80FAC"/>
  </w:style>
  <w:style w:type="paragraph" w:styleId="Quote">
    <w:name w:val="Quote"/>
    <w:basedOn w:val="Heading1"/>
    <w:link w:val="QuoteChar"/>
    <w:qFormat/>
    <w:rsid w:val="00D80FAC"/>
    <w:rPr>
      <w:b w:val="0"/>
      <w:sz w:val="72"/>
      <w:szCs w:val="72"/>
      <w:lang w:val="en-NZ"/>
    </w:rPr>
  </w:style>
  <w:style w:type="character" w:customStyle="1" w:styleId="QuoteChar">
    <w:name w:val="Quote Char"/>
    <w:basedOn w:val="DefaultParagraphFont"/>
    <w:link w:val="Quote"/>
    <w:rsid w:val="00D80F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0FAC"/>
    <w:pPr>
      <w:pageBreakBefore/>
    </w:pPr>
  </w:style>
  <w:style w:type="paragraph" w:customStyle="1" w:styleId="Border">
    <w:name w:val="Border"/>
    <w:basedOn w:val="Normal"/>
    <w:qFormat/>
    <w:rsid w:val="00D80F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0FAC"/>
    <w:rPr>
      <w:b/>
      <w:bCs/>
      <w:i/>
      <w:iCs/>
      <w:color w:val="auto"/>
    </w:rPr>
  </w:style>
  <w:style w:type="paragraph" w:styleId="IntenseQuote">
    <w:name w:val="Intense Quote"/>
    <w:basedOn w:val="Normal"/>
    <w:next w:val="Normal"/>
    <w:link w:val="IntenseQuoteChar"/>
    <w:uiPriority w:val="30"/>
    <w:qFormat/>
    <w:rsid w:val="00D80F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0F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0FAC"/>
    <w:rPr>
      <w:smallCaps/>
      <w:color w:val="auto"/>
      <w:u w:val="single"/>
    </w:rPr>
  </w:style>
  <w:style w:type="character" w:styleId="IntenseReference">
    <w:name w:val="Intense Reference"/>
    <w:basedOn w:val="DefaultParagraphFont"/>
    <w:uiPriority w:val="32"/>
    <w:qFormat/>
    <w:rsid w:val="00D80FAC"/>
    <w:rPr>
      <w:b/>
      <w:bCs/>
      <w:smallCaps/>
      <w:color w:val="auto"/>
      <w:spacing w:val="5"/>
      <w:u w:val="single"/>
    </w:rPr>
  </w:style>
  <w:style w:type="paragraph" w:customStyle="1" w:styleId="2ColumnHeading">
    <w:name w:val="2Column Heading"/>
    <w:basedOn w:val="BodyText"/>
    <w:qFormat/>
    <w:rsid w:val="00D80FAC"/>
    <w:pPr>
      <w:spacing w:after="60"/>
      <w:ind w:left="-2268"/>
    </w:pPr>
    <w:rPr>
      <w:b/>
    </w:rPr>
  </w:style>
  <w:style w:type="paragraph" w:customStyle="1" w:styleId="Heading1TOC">
    <w:name w:val="Heading1 TOC"/>
    <w:basedOn w:val="Normal"/>
    <w:qFormat/>
    <w:rsid w:val="00D80FAC"/>
    <w:pPr>
      <w:spacing w:before="240" w:after="120"/>
    </w:pPr>
    <w:rPr>
      <w:rFonts w:ascii="Times New Roman" w:hAnsi="Times New Roman"/>
      <w:b/>
      <w:sz w:val="32"/>
    </w:rPr>
  </w:style>
  <w:style w:type="paragraph" w:customStyle="1" w:styleId="Heading2TOC">
    <w:name w:val="Heading2 TOC"/>
    <w:basedOn w:val="Normal"/>
    <w:qFormat/>
    <w:rsid w:val="00D80FAC"/>
    <w:pPr>
      <w:spacing w:before="240" w:after="60"/>
    </w:pPr>
    <w:rPr>
      <w:rFonts w:ascii="Times New Roman" w:hAnsi="Times New Roman"/>
      <w:b/>
      <w:sz w:val="28"/>
    </w:rPr>
  </w:style>
  <w:style w:type="character" w:customStyle="1" w:styleId="Underline">
    <w:name w:val="Underline"/>
    <w:basedOn w:val="DefaultParagraphFont"/>
    <w:qFormat/>
    <w:rsid w:val="00D80FAC"/>
    <w:rPr>
      <w:u w:val="single"/>
    </w:rPr>
  </w:style>
  <w:style w:type="character" w:customStyle="1" w:styleId="BoldandItalics">
    <w:name w:val="Bold and Italics"/>
    <w:qFormat/>
    <w:rsid w:val="00D80FAC"/>
    <w:rPr>
      <w:b/>
      <w:i/>
      <w:u w:val="none"/>
    </w:rPr>
  </w:style>
  <w:style w:type="paragraph" w:styleId="BalloonText">
    <w:name w:val="Balloon Text"/>
    <w:basedOn w:val="Normal"/>
    <w:link w:val="BalloonTextChar"/>
    <w:rsid w:val="00D80FAC"/>
    <w:rPr>
      <w:rFonts w:ascii="Tahoma" w:hAnsi="Tahoma" w:cs="Tahoma"/>
      <w:sz w:val="16"/>
      <w:szCs w:val="16"/>
    </w:rPr>
  </w:style>
  <w:style w:type="character" w:customStyle="1" w:styleId="BalloonTextChar">
    <w:name w:val="Balloon Text Char"/>
    <w:basedOn w:val="DefaultParagraphFont"/>
    <w:link w:val="BalloonText"/>
    <w:rsid w:val="00D80F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0F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0F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0FAC"/>
    <w:rPr>
      <w:b/>
      <w:color w:val="660033"/>
      <w:spacing w:val="0"/>
    </w:rPr>
  </w:style>
  <w:style w:type="paragraph" w:customStyle="1" w:styleId="Nameditemlist">
    <w:name w:val="Named item list"/>
    <w:basedOn w:val="BodyText"/>
    <w:qFormat/>
    <w:rsid w:val="00D80FAC"/>
    <w:pPr>
      <w:tabs>
        <w:tab w:val="left" w:pos="2835"/>
      </w:tabs>
      <w:ind w:left="2835" w:hanging="2835"/>
    </w:pPr>
  </w:style>
  <w:style w:type="paragraph" w:customStyle="1" w:styleId="BodyTextnopadding">
    <w:name w:val="Body Text no padding"/>
    <w:basedOn w:val="BodyText"/>
    <w:qFormat/>
    <w:rsid w:val="00D80FAC"/>
    <w:pPr>
      <w:spacing w:before="0" w:after="0"/>
    </w:pPr>
  </w:style>
  <w:style w:type="paragraph" w:customStyle="1" w:styleId="BodyTextBold">
    <w:name w:val="Body Text Bold"/>
    <w:basedOn w:val="BodyText"/>
    <w:qFormat/>
    <w:rsid w:val="00D80FAC"/>
    <w:rPr>
      <w:b/>
    </w:rPr>
  </w:style>
  <w:style w:type="character" w:styleId="Hyperlink">
    <w:name w:val="Hyperlink"/>
    <w:basedOn w:val="DefaultParagraphFont"/>
    <w:uiPriority w:val="99"/>
    <w:unhideWhenUsed/>
    <w:rsid w:val="00EF0E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1270</Words>
  <Characters>8540</Characters>
  <Application>Microsoft Office Word</Application>
  <DocSecurity>0</DocSecurity>
  <Lines>237</Lines>
  <Paragraphs>213</Paragraphs>
  <ScaleCrop>false</ScaleCrop>
  <Company>Author-it Software Corporation Ltd.</Company>
  <LinksUpToDate>false</LinksUpToDate>
  <CharactersWithSpaces>9597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HLTKIN004 Provide kinesiology balances</dc:title>
  <dc:subject>Approved</dc:subject>
  <dc:creator>SkillsIQ</dc:creator>
  <cp:keywords>Release: 2</cp:keywords>
  <dc:description>Review Date: 12 April 2008</dc:description>
  <cp:lastModifiedBy>HSD_TPCMSd.prod</cp:lastModifiedBy>
  <cp:revision>3</cp:revision>
  <dcterms:created xsi:type="dcterms:W3CDTF">2023-07-02T02:46:00Z</dcterms:created>
  <dcterms:modified xsi:type="dcterms:W3CDTF">2023-07-02T02:46:00Z</dcterms:modified>
</cp:coreProperties>
</file>