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DE3" w:rsidP="00C02DE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HLTKIN002 Conduct indicator muscle monitoring</w:t>
      </w:r>
      <w:r>
        <w:fldChar w:fldCharType="end"/>
      </w:r>
    </w:p>
    <w:p w:rsidR="00C02DE3" w:rsidP="00C02DE3">
      <w:pPr>
        <w:pStyle w:val="Version"/>
        <w:sectPr w:rsidSect="003D0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2D7" w:rsidP="003D02D7">
      <w:pPr>
        <w:pStyle w:val="SuperHeading"/>
      </w:pPr>
      <w:r w:rsidRPr="003D02D7">
        <w:t>Assessment Requirements for HLTKIN002 Conduct indicator muscle monitoring</w:t>
      </w:r>
    </w:p>
    <w:p w:rsidR="00000000" w:rsidRPr="003D02D7" w:rsidP="003D02D7">
      <w:pPr>
        <w:pStyle w:val="Heading1"/>
      </w:pPr>
      <w:bookmarkStart w:id="1" w:name="O_656691"/>
      <w:bookmarkEnd w:id="1"/>
      <w:r w:rsidRPr="003D02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D0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D7" w:rsidP="003D02D7">
            <w:pPr>
              <w:pStyle w:val="BodyText"/>
            </w:pPr>
            <w:r w:rsidRPr="003D02D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D7">
            <w:pPr>
              <w:pStyle w:val="BodyText"/>
              <w:rPr>
                <w:lang w:val="en-NZ"/>
              </w:rPr>
            </w:pPr>
            <w:r w:rsidRPr="003D02D7">
              <w:rPr>
                <w:rStyle w:val="SpecialBold"/>
              </w:rPr>
              <w:t>Comments</w:t>
            </w:r>
          </w:p>
        </w:tc>
      </w:tr>
      <w:tr w:rsidTr="003D0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D7">
            <w:pPr>
              <w:pStyle w:val="BodyText"/>
              <w:rPr>
                <w:lang w:val="en-NZ"/>
              </w:rPr>
            </w:pPr>
            <w:r w:rsidRPr="003D02D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D7" w:rsidP="003D02D7">
            <w:pPr>
              <w:pStyle w:val="BodyText"/>
            </w:pPr>
            <w:r w:rsidRPr="003D02D7">
              <w:t xml:space="preserve">This version was released in </w:t>
            </w:r>
            <w:r w:rsidRPr="003D02D7">
              <w:rPr>
                <w:rStyle w:val="Emphasis"/>
              </w:rPr>
              <w:t>CHC Community Services Training Package release 2.0</w:t>
            </w:r>
            <w:r w:rsidRPr="003D02D7">
              <w:t xml:space="preserve"> and meets the requirem</w:t>
            </w:r>
            <w:r w:rsidRPr="003D02D7">
              <w:t>ents of the 2012 Standards for Training Packages.</w:t>
            </w:r>
          </w:p>
          <w:p w:rsidR="00000000" w:rsidRPr="003D02D7" w:rsidP="003D02D7">
            <w:pPr>
              <w:pStyle w:val="BodyText"/>
            </w:pPr>
            <w:r w:rsidRPr="003D02D7">
              <w:t>New unit</w:t>
            </w:r>
          </w:p>
        </w:tc>
      </w:tr>
    </w:tbl>
    <w:p w:rsidR="00000000" w:rsidRPr="003D02D7" w:rsidP="003D02D7">
      <w:pPr>
        <w:pStyle w:val="BodyText"/>
      </w:pPr>
    </w:p>
    <w:p w:rsidR="00000000" w:rsidRPr="003D02D7" w:rsidP="003D02D7">
      <w:pPr>
        <w:pStyle w:val="AllowPageBreak"/>
      </w:pPr>
    </w:p>
    <w:p w:rsidR="00000000" w:rsidRPr="003D02D7" w:rsidP="003D02D7">
      <w:pPr>
        <w:pStyle w:val="Heading1"/>
      </w:pPr>
      <w:bookmarkStart w:id="2" w:name="O_656692"/>
      <w:bookmarkEnd w:id="2"/>
      <w:r w:rsidRPr="003D02D7">
        <w:t>Performance Evidence</w:t>
      </w:r>
    </w:p>
    <w:p w:rsidR="00000000" w:rsidRPr="003D02D7" w:rsidP="00C02DE3">
      <w:pPr>
        <w:pStyle w:val="BodyText"/>
      </w:pPr>
      <w:r w:rsidRPr="003D02D7">
        <w:t>The candidate must show evidence of the ability to complete tasks outlined in elements and performance criteria of this unit, manage tasks and manage conting</w:t>
      </w:r>
      <w:r w:rsidRPr="003D02D7">
        <w:t>encies in the context of the job role. There must be evidence that the candidate has:</w:t>
      </w:r>
    </w:p>
    <w:p w:rsidR="00000000" w:rsidRPr="003D02D7" w:rsidP="003D02D7">
      <w:pPr>
        <w:pStyle w:val="ListBullet"/>
      </w:pPr>
      <w:r w:rsidRPr="003D02D7">
        <w:t>conducted indicator muscle monitoring on at least 60 different people, including men, women, young people and elders, including:</w:t>
      </w:r>
    </w:p>
    <w:p w:rsidR="00000000" w:rsidRPr="003D02D7" w:rsidP="003D02D7">
      <w:pPr>
        <w:pStyle w:val="ListBullet2"/>
      </w:pPr>
      <w:r w:rsidRPr="003D02D7">
        <w:t>demonstrated lock and unlock on indicat</w:t>
      </w:r>
      <w:r w:rsidRPr="003D02D7">
        <w:t>or muscles</w:t>
      </w:r>
    </w:p>
    <w:p w:rsidR="00000000" w:rsidRPr="003D02D7" w:rsidP="003D02D7">
      <w:pPr>
        <w:pStyle w:val="ListBullet2"/>
      </w:pPr>
      <w:r w:rsidRPr="003D02D7">
        <w:t>corrected muscle response when test produces unlock response</w:t>
      </w:r>
    </w:p>
    <w:p w:rsidR="00000000" w:rsidRPr="003D02D7" w:rsidP="003D02D7">
      <w:pPr>
        <w:pStyle w:val="ListBullet2"/>
      </w:pPr>
      <w:r w:rsidRPr="003D02D7">
        <w:t>used indicator muscle monitoring for physical, emotional or biochemical challenges</w:t>
      </w:r>
    </w:p>
    <w:p w:rsidR="00000000" w:rsidRPr="003D02D7" w:rsidP="003D02D7">
      <w:pPr>
        <w:pStyle w:val="ListBullet2"/>
      </w:pPr>
      <w:r w:rsidRPr="003D02D7">
        <w:t>used all limbs on both left and right side of the body with client in supine and prone positions</w:t>
      </w:r>
    </w:p>
    <w:p w:rsidR="00000000" w:rsidRPr="003D02D7" w:rsidP="003D02D7">
      <w:pPr>
        <w:pStyle w:val="ListBullet2"/>
      </w:pPr>
      <w:r w:rsidRPr="003D02D7">
        <w:t>integrated information from practitioner and client perspectives, evidenced by:</w:t>
      </w:r>
    </w:p>
    <w:p w:rsidR="00000000" w:rsidRPr="003D02D7" w:rsidP="003D02D7">
      <w:pPr>
        <w:pStyle w:val="ListBullet3"/>
      </w:pPr>
      <w:r w:rsidRPr="003D02D7">
        <w:t>use of appropriate level of pressure</w:t>
      </w:r>
    </w:p>
    <w:p w:rsidR="00000000" w:rsidRPr="003D02D7" w:rsidP="003D02D7">
      <w:pPr>
        <w:pStyle w:val="ListBullet3"/>
      </w:pPr>
      <w:r w:rsidRPr="003D02D7">
        <w:t>nature of own posture</w:t>
      </w:r>
    </w:p>
    <w:p w:rsidR="00000000" w:rsidRPr="003D02D7" w:rsidP="003D02D7">
      <w:pPr>
        <w:pStyle w:val="ListBullet3"/>
      </w:pPr>
      <w:r w:rsidRPr="003D02D7">
        <w:t>enhanced communication and connection with client</w:t>
      </w:r>
    </w:p>
    <w:p w:rsidR="00000000" w:rsidRPr="003D02D7" w:rsidP="003D02D7">
      <w:pPr>
        <w:pStyle w:val="ListBullet3"/>
      </w:pPr>
      <w:r w:rsidRPr="003D02D7">
        <w:t>pace of monitoring</w:t>
      </w:r>
    </w:p>
    <w:p w:rsidR="00000000" w:rsidRPr="003D02D7" w:rsidP="003D02D7">
      <w:pPr>
        <w:pStyle w:val="ListBullet"/>
      </w:pPr>
      <w:r w:rsidRPr="003D02D7">
        <w:t>had own muscles monitored by at least 10 diffe</w:t>
      </w:r>
      <w:r w:rsidRPr="003D02D7">
        <w:t>rent people</w:t>
      </w:r>
    </w:p>
    <w:p w:rsidR="00000000" w:rsidRPr="003D02D7" w:rsidP="003D02D7">
      <w:pPr>
        <w:pStyle w:val="AllowPageBreak"/>
      </w:pPr>
    </w:p>
    <w:p w:rsidR="00000000" w:rsidRPr="003D02D7" w:rsidP="003D02D7">
      <w:pPr>
        <w:pStyle w:val="Heading1"/>
      </w:pPr>
      <w:bookmarkStart w:id="3" w:name="O_656693"/>
      <w:bookmarkEnd w:id="3"/>
      <w:r w:rsidRPr="003D02D7">
        <w:t>Knowledge Evidence</w:t>
      </w:r>
    </w:p>
    <w:p w:rsidR="00000000" w:rsidRPr="003D02D7" w:rsidP="00C02DE3">
      <w:pPr>
        <w:pStyle w:val="BodyText"/>
      </w:pPr>
      <w:r w:rsidRPr="003D02D7">
        <w:t xml:space="preserve">The candidate must be able to demonstrate essential knowledge required to effectively complete tasks outlined in elements and performance criteria of </w:t>
      </w:r>
      <w:r w:rsidRPr="003D02D7">
        <w:t>this unit, manage tasks and manage contingencies in the context of the work role. This includes knowledge of:</w:t>
      </w:r>
    </w:p>
    <w:p w:rsidR="00000000" w:rsidRPr="003D02D7" w:rsidP="003D02D7">
      <w:pPr>
        <w:pStyle w:val="ListBullet"/>
      </w:pPr>
      <w:r w:rsidRPr="003D02D7">
        <w:t>relationship between client and self:</w:t>
      </w:r>
    </w:p>
    <w:p w:rsidR="00000000" w:rsidRPr="003D02D7" w:rsidP="003D02D7">
      <w:pPr>
        <w:pStyle w:val="ListBullet2"/>
      </w:pPr>
      <w:r w:rsidRPr="003D02D7">
        <w:t>as one circuit</w:t>
      </w:r>
    </w:p>
    <w:p w:rsidR="00000000" w:rsidRPr="003D02D7" w:rsidP="003D02D7">
      <w:pPr>
        <w:pStyle w:val="ListBullet2"/>
      </w:pPr>
      <w:r w:rsidRPr="003D02D7">
        <w:t>importance of neutrality of tester</w:t>
      </w:r>
    </w:p>
    <w:p w:rsidR="00000000" w:rsidRPr="003D02D7" w:rsidP="003D02D7">
      <w:pPr>
        <w:pStyle w:val="ListBullet"/>
      </w:pPr>
      <w:r w:rsidRPr="003D02D7">
        <w:t>terminology of muscle monitoring in kinesiology:</w:t>
      </w:r>
    </w:p>
    <w:p w:rsidR="00000000" w:rsidRPr="003D02D7" w:rsidP="003D02D7">
      <w:pPr>
        <w:pStyle w:val="ListBullet2"/>
      </w:pPr>
      <w:r w:rsidRPr="003D02D7">
        <w:t>indic</w:t>
      </w:r>
      <w:r w:rsidRPr="003D02D7">
        <w:t>ator/indicator change or lock/unlock not weak/strong</w:t>
      </w:r>
    </w:p>
    <w:p w:rsidR="00000000" w:rsidRPr="003D02D7" w:rsidP="003D02D7">
      <w:pPr>
        <w:pStyle w:val="ListBullet2"/>
      </w:pPr>
      <w:r w:rsidRPr="003D02D7">
        <w:t>hold not resist</w:t>
      </w:r>
    </w:p>
    <w:p w:rsidR="00000000" w:rsidRPr="003D02D7" w:rsidP="003D02D7">
      <w:pPr>
        <w:pStyle w:val="ListBullet2"/>
      </w:pPr>
      <w:r w:rsidRPr="003D02D7">
        <w:t xml:space="preserve">firm monitoring not strength testing </w:t>
      </w:r>
    </w:p>
    <w:p w:rsidR="00000000" w:rsidRPr="003D02D7" w:rsidP="003D02D7">
      <w:pPr>
        <w:pStyle w:val="ListBullet"/>
      </w:pPr>
      <w:r w:rsidRPr="003D02D7">
        <w:t>factors that affect establishment of the indicator muscle response, including:</w:t>
      </w:r>
    </w:p>
    <w:p w:rsidR="00000000" w:rsidRPr="003D02D7" w:rsidP="003D02D7">
      <w:pPr>
        <w:pStyle w:val="ListBullet2"/>
      </w:pPr>
      <w:r w:rsidRPr="003D02D7">
        <w:t>circuit locating</w:t>
      </w:r>
    </w:p>
    <w:p w:rsidR="00000000" w:rsidRPr="003D02D7" w:rsidP="003D02D7">
      <w:pPr>
        <w:pStyle w:val="ListBullet2"/>
      </w:pPr>
      <w:r w:rsidRPr="003D02D7">
        <w:t>switching/overload</w:t>
      </w:r>
    </w:p>
    <w:p w:rsidR="00000000" w:rsidRPr="003D02D7" w:rsidP="003D02D7">
      <w:pPr>
        <w:pStyle w:val="ListBullet2"/>
      </w:pPr>
      <w:r w:rsidRPr="003D02D7">
        <w:t>central and governing meridians</w:t>
      </w:r>
    </w:p>
    <w:p w:rsidR="00000000" w:rsidRPr="003D02D7" w:rsidP="003D02D7">
      <w:pPr>
        <w:pStyle w:val="ListBullet2"/>
      </w:pPr>
      <w:r w:rsidRPr="003D02D7">
        <w:t>hydration</w:t>
      </w:r>
    </w:p>
    <w:p w:rsidR="00000000" w:rsidRPr="003D02D7" w:rsidP="003D02D7">
      <w:pPr>
        <w:pStyle w:val="ListBullet"/>
      </w:pPr>
      <w:r w:rsidRPr="003D02D7">
        <w:t>neurological perspectives on the roles of conscious and subconscious aspects of muscle monitoring</w:t>
      </w:r>
    </w:p>
    <w:p w:rsidR="00000000" w:rsidRPr="003D02D7" w:rsidP="003D02D7">
      <w:pPr>
        <w:pStyle w:val="ListBullet"/>
      </w:pPr>
      <w:r w:rsidRPr="003D02D7">
        <w:t>information from the practitioner’s perspective that informs muscle monitoring, including:</w:t>
      </w:r>
    </w:p>
    <w:p w:rsidR="00000000" w:rsidRPr="003D02D7" w:rsidP="003D02D7">
      <w:pPr>
        <w:pStyle w:val="ListBullet2"/>
      </w:pPr>
      <w:r w:rsidRPr="003D02D7">
        <w:t>mechanics of muscles:</w:t>
      </w:r>
    </w:p>
    <w:p w:rsidR="00000000" w:rsidRPr="003D02D7" w:rsidP="003D02D7">
      <w:pPr>
        <w:pStyle w:val="ListBullet3"/>
      </w:pPr>
      <w:r w:rsidRPr="003D02D7">
        <w:t>prime movers</w:t>
      </w:r>
    </w:p>
    <w:p w:rsidR="00000000" w:rsidRPr="003D02D7" w:rsidP="003D02D7">
      <w:pPr>
        <w:pStyle w:val="ListBullet3"/>
      </w:pPr>
      <w:r w:rsidRPr="003D02D7">
        <w:t>synergist, antagoni</w:t>
      </w:r>
      <w:r w:rsidRPr="003D02D7">
        <w:t>sts and fixator muscles</w:t>
      </w:r>
    </w:p>
    <w:p w:rsidR="00000000" w:rsidRPr="003D02D7" w:rsidP="003D02D7">
      <w:pPr>
        <w:pStyle w:val="ListBullet2"/>
      </w:pPr>
      <w:r w:rsidRPr="003D02D7">
        <w:t>neurological circuits controlling muscle function - spinal reflexes</w:t>
      </w:r>
    </w:p>
    <w:p w:rsidR="00000000" w:rsidRPr="003D02D7" w:rsidP="003D02D7">
      <w:pPr>
        <w:pStyle w:val="ListBullet2"/>
      </w:pPr>
      <w:r w:rsidRPr="003D02D7">
        <w:t>control of muscle proprioception - muscle spindle cells</w:t>
      </w:r>
    </w:p>
    <w:p w:rsidR="00000000" w:rsidRPr="003D02D7" w:rsidP="003D02D7">
      <w:pPr>
        <w:pStyle w:val="ListBullet2"/>
      </w:pPr>
      <w:r w:rsidRPr="003D02D7">
        <w:t xml:space="preserve">golgi tendon apparatus </w:t>
      </w:r>
    </w:p>
    <w:p w:rsidR="00000000" w:rsidRPr="003D02D7" w:rsidP="003D02D7">
      <w:pPr>
        <w:pStyle w:val="ListBullet2"/>
      </w:pPr>
      <w:r w:rsidRPr="003D02D7">
        <w:t>emotional/mental connectivity of muscles</w:t>
      </w:r>
    </w:p>
    <w:p w:rsidR="00000000" w:rsidRPr="003D02D7" w:rsidP="003D02D7">
      <w:pPr>
        <w:pStyle w:val="ListBullet2"/>
      </w:pPr>
      <w:r w:rsidRPr="003D02D7">
        <w:t>biochemical connectivity of muscles</w:t>
      </w:r>
    </w:p>
    <w:p w:rsidR="00000000" w:rsidRPr="003D02D7" w:rsidP="003D02D7">
      <w:pPr>
        <w:pStyle w:val="ListBullet2"/>
      </w:pPr>
      <w:r w:rsidRPr="003D02D7">
        <w:t>muscle recruitment of synergist or other muscles</w:t>
      </w:r>
    </w:p>
    <w:p w:rsidR="00000000" w:rsidRPr="003D02D7" w:rsidP="003D02D7">
      <w:pPr>
        <w:pStyle w:val="ListBullet"/>
      </w:pPr>
      <w:r w:rsidRPr="003D02D7">
        <w:t>information from the client’s perspective that informs muscle monitoring:</w:t>
      </w:r>
    </w:p>
    <w:p w:rsidR="00000000" w:rsidRPr="003D02D7" w:rsidP="003D02D7">
      <w:pPr>
        <w:pStyle w:val="ListBullet2"/>
      </w:pPr>
      <w:r w:rsidRPr="003D02D7">
        <w:t>sensing of change between lock, unlock and vice versa</w:t>
      </w:r>
    </w:p>
    <w:p w:rsidR="00000000" w:rsidRPr="003D02D7" w:rsidP="003D02D7">
      <w:pPr>
        <w:pStyle w:val="ListBullet2"/>
      </w:pPr>
      <w:r w:rsidRPr="003D02D7">
        <w:t>role of mental/emotional resource created by thoughts and feelings</w:t>
      </w:r>
    </w:p>
    <w:p w:rsidR="00000000" w:rsidRPr="003D02D7" w:rsidP="003D02D7">
      <w:pPr>
        <w:pStyle w:val="ListBullet2"/>
      </w:pPr>
      <w:r w:rsidRPr="003D02D7">
        <w:t>importance</w:t>
      </w:r>
      <w:r w:rsidRPr="003D02D7">
        <w:t xml:space="preserve"> of own experience of muscle monitoring to inform practice and the role experience plays in achieving consistent results</w:t>
      </w:r>
    </w:p>
    <w:p w:rsidR="00000000" w:rsidRPr="003D02D7" w:rsidP="003D02D7">
      <w:pPr>
        <w:pStyle w:val="ListBullet"/>
      </w:pPr>
      <w:r w:rsidRPr="003D02D7">
        <w:t xml:space="preserve">differences between information from the practitioner and client perspectives </w:t>
      </w:r>
    </w:p>
    <w:p w:rsidR="00000000" w:rsidRPr="003D02D7" w:rsidP="003D02D7">
      <w:pPr>
        <w:pStyle w:val="ListBullet"/>
      </w:pPr>
      <w:r w:rsidRPr="003D02D7">
        <w:t>ways to educate clients for awareness of indicator musc</w:t>
      </w:r>
      <w:r w:rsidRPr="003D02D7">
        <w:t>le responses</w:t>
      </w:r>
    </w:p>
    <w:p w:rsidR="00000000" w:rsidRPr="003D02D7" w:rsidP="003D02D7">
      <w:pPr>
        <w:pStyle w:val="ListBullet"/>
      </w:pPr>
      <w:r w:rsidRPr="003D02D7">
        <w:t>kinesiology techniques to clear inhibited and over-facilitated muscles</w:t>
      </w:r>
    </w:p>
    <w:p w:rsidR="00000000" w:rsidRPr="003D02D7" w:rsidP="003D02D7">
      <w:pPr>
        <w:pStyle w:val="AllowPageBreak"/>
      </w:pPr>
    </w:p>
    <w:p w:rsidR="00000000" w:rsidRPr="003D02D7" w:rsidP="003D02D7">
      <w:pPr>
        <w:pStyle w:val="Heading1"/>
      </w:pPr>
      <w:bookmarkStart w:id="4" w:name="O_656694"/>
      <w:bookmarkEnd w:id="4"/>
      <w:r w:rsidRPr="003D02D7">
        <w:t>Assessment Conditions</w:t>
      </w:r>
    </w:p>
    <w:p w:rsidR="00000000" w:rsidRPr="003D02D7" w:rsidP="00C02DE3">
      <w:pPr>
        <w:pStyle w:val="BodyText"/>
      </w:pPr>
      <w:r w:rsidRPr="003D02D7">
        <w:t>Skills must have been demonstrated in the workplace or in a simulat</w:t>
      </w:r>
      <w:r w:rsidRPr="003D02D7">
        <w:t xml:space="preserve">ed clinical environment that reflects workplace conditions. The following conditions must be met for this unit: </w:t>
      </w:r>
    </w:p>
    <w:p w:rsidR="00000000" w:rsidRPr="003D02D7" w:rsidP="003D02D7">
      <w:pPr>
        <w:pStyle w:val="ListBullet"/>
      </w:pPr>
      <w:r w:rsidRPr="003D02D7">
        <w:t>use of suitable, facilities, equipment and resources, including hand sanitiser and/ or hot running water for washing hands</w:t>
      </w:r>
    </w:p>
    <w:p w:rsidR="00000000" w:rsidRPr="003D02D7" w:rsidP="003D02D7">
      <w:pPr>
        <w:pStyle w:val="BodyText"/>
      </w:pPr>
    </w:p>
    <w:p w:rsidR="00000000" w:rsidRPr="003D02D7" w:rsidP="00C02DE3">
      <w:pPr>
        <w:pStyle w:val="BodyText"/>
      </w:pPr>
      <w:r w:rsidRPr="003D02D7">
        <w:t>Assessors must sat</w:t>
      </w:r>
      <w:r w:rsidRPr="003D02D7">
        <w:t>isfy the Standards for Registered Training Organisations (RTOs) 2015/AQTF mandatory competency requirements for assessors.</w:t>
      </w:r>
    </w:p>
    <w:p w:rsidR="00000000" w:rsidRPr="003D02D7" w:rsidP="00C02DE3">
      <w:pPr>
        <w:pStyle w:val="BodyText"/>
      </w:pPr>
      <w:r w:rsidRPr="003D02D7">
        <w:t>In addition, assessors must:</w:t>
      </w:r>
    </w:p>
    <w:p w:rsidR="00000000" w:rsidRPr="003D02D7" w:rsidP="003D02D7">
      <w:pPr>
        <w:pStyle w:val="ListBullet"/>
      </w:pPr>
      <w:r w:rsidRPr="003D02D7">
        <w:t xml:space="preserve">have at least 2 years current clinical experience working as a kinesiologist providing services to the </w:t>
      </w:r>
      <w:r w:rsidRPr="003D02D7">
        <w:t xml:space="preserve">general public </w:t>
      </w:r>
    </w:p>
    <w:p w:rsidR="00000000" w:rsidRPr="003D02D7" w:rsidP="003D02D7">
      <w:pPr>
        <w:pStyle w:val="ListBullet"/>
      </w:pPr>
      <w:r w:rsidRPr="003D02D7">
        <w:t>hold practising membership of an Australian professional body that represents kinesiologists</w:t>
      </w:r>
    </w:p>
    <w:p w:rsidR="00000000" w:rsidRPr="003D02D7" w:rsidP="003D02D7">
      <w:pPr>
        <w:pStyle w:val="ListBullet"/>
      </w:pPr>
      <w:r w:rsidRPr="003D02D7">
        <w:t>fulfil the continuing professional development requirements of the professional body to which they belong</w:t>
      </w:r>
    </w:p>
    <w:p w:rsidR="00000000" w:rsidRPr="003D02D7" w:rsidP="003D02D7">
      <w:pPr>
        <w:pStyle w:val="AllowPageBreak"/>
      </w:pPr>
    </w:p>
    <w:p w:rsidR="00000000" w:rsidRPr="003D02D7" w:rsidP="003D02D7">
      <w:pPr>
        <w:pStyle w:val="Heading1"/>
      </w:pPr>
      <w:bookmarkStart w:id="5" w:name="O_656697"/>
      <w:bookmarkEnd w:id="5"/>
      <w:r w:rsidRPr="003D02D7">
        <w:t>Links</w:t>
      </w:r>
    </w:p>
    <w:p w:rsidR="00000000" w:rsidRPr="003D02D7" w:rsidP="00C02DE3">
      <w:pPr>
        <w:pStyle w:val="BodyText"/>
      </w:pPr>
      <w:r w:rsidRPr="003D02D7">
        <w:t>Companion Volume i</w:t>
      </w:r>
      <w:r w:rsidRPr="003D02D7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0372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D02D7" w:rsidP="003D02D7"/>
    <w:sectPr w:rsidSect="003D0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D7" w:rsidRPr="00C02DE3" w:rsidP="00C02DE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E3" w:rsidP="003D0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DE3" w:rsidP="003D0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2DE3" w:rsidP="003D0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2D7" w:rsidRPr="00C02DE3" w:rsidP="00C02D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E3" w:rsidRPr="002D2AF8" w:rsidP="003D0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HLTKIN002 Conduct indicator muscle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02DE3" w:rsidP="003D0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8E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3CC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CC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2D7"/>
  </w:style>
  <w:style w:type="character" w:customStyle="1" w:styleId="Heading1Char">
    <w:name w:val="Heading 1 Char"/>
    <w:basedOn w:val="DefaultParagraphFont"/>
    <w:link w:val="Heading1"/>
    <w:rsid w:val="003D0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2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2D7"/>
    <w:rPr>
      <w:b/>
      <w:spacing w:val="0"/>
    </w:rPr>
  </w:style>
  <w:style w:type="paragraph" w:styleId="ListBullet2">
    <w:name w:val="List Bullet 2"/>
    <w:basedOn w:val="List2"/>
    <w:rsid w:val="003D02D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02D7"/>
    <w:rPr>
      <w:i/>
    </w:rPr>
  </w:style>
  <w:style w:type="paragraph" w:customStyle="1" w:styleId="SuperHeading">
    <w:name w:val="SuperHeading"/>
    <w:basedOn w:val="Normal"/>
    <w:rsid w:val="003D0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02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0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2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2D7"/>
  </w:style>
  <w:style w:type="paragraph" w:styleId="TableofFigures">
    <w:name w:val="table of figures"/>
    <w:basedOn w:val="Normal"/>
    <w:next w:val="Normal"/>
    <w:semiHidden/>
    <w:rsid w:val="003D0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2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02D7"/>
    <w:rPr>
      <w:rFonts w:ascii="Wingdings" w:hAnsi="Wingdings"/>
    </w:rPr>
  </w:style>
  <w:style w:type="paragraph" w:customStyle="1" w:styleId="TableHeading">
    <w:name w:val="Table Heading"/>
    <w:basedOn w:val="HeadingBase"/>
    <w:rsid w:val="003D0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2D7"/>
    <w:rPr>
      <w:color w:val="0033CC"/>
      <w:u w:val="none"/>
    </w:rPr>
  </w:style>
  <w:style w:type="paragraph" w:customStyle="1" w:styleId="BodyTextRight">
    <w:name w:val="Body Text Right"/>
    <w:basedOn w:val="BodyText"/>
    <w:rsid w:val="003D0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2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2D7"/>
    <w:rPr>
      <w:sz w:val="32"/>
    </w:rPr>
  </w:style>
  <w:style w:type="paragraph" w:customStyle="1" w:styleId="HeadingProcedure">
    <w:name w:val="Heading Procedure"/>
    <w:basedOn w:val="HeadingBase"/>
    <w:next w:val="Normal"/>
    <w:rsid w:val="003D0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2D7"/>
    <w:pPr>
      <w:spacing w:before="60" w:after="60"/>
    </w:pPr>
  </w:style>
  <w:style w:type="paragraph" w:styleId="ListContinue">
    <w:name w:val="List Continue"/>
    <w:basedOn w:val="List"/>
    <w:rsid w:val="003D02D7"/>
    <w:pPr>
      <w:ind w:firstLine="0"/>
    </w:pPr>
  </w:style>
  <w:style w:type="paragraph" w:customStyle="1" w:styleId="ListNote">
    <w:name w:val="List Note"/>
    <w:basedOn w:val="List"/>
    <w:rsid w:val="003D0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2D7"/>
    <w:rPr>
      <w:rFonts w:ascii="Courier New" w:hAnsi="Courier New"/>
    </w:rPr>
  </w:style>
  <w:style w:type="paragraph" w:customStyle="1" w:styleId="NoteBullet">
    <w:name w:val="Note Bullet"/>
    <w:basedOn w:val="Note"/>
    <w:rsid w:val="003D0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2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0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2D7"/>
    <w:rPr>
      <w:b/>
      <w:smallCaps/>
    </w:rPr>
  </w:style>
  <w:style w:type="paragraph" w:customStyle="1" w:styleId="TableListNumber">
    <w:name w:val="Table List Number"/>
    <w:basedOn w:val="ListNumber"/>
    <w:rsid w:val="003D0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2D7"/>
    <w:pPr>
      <w:numPr>
        <w:numId w:val="10"/>
      </w:numPr>
    </w:pPr>
  </w:style>
  <w:style w:type="paragraph" w:customStyle="1" w:styleId="ListAlpha2">
    <w:name w:val="List Alpha 2"/>
    <w:basedOn w:val="List2"/>
    <w:rsid w:val="003D02D7"/>
    <w:pPr>
      <w:numPr>
        <w:numId w:val="9"/>
      </w:numPr>
    </w:pPr>
  </w:style>
  <w:style w:type="paragraph" w:styleId="List2">
    <w:name w:val="List 2"/>
    <w:basedOn w:val="BodyText"/>
    <w:rsid w:val="003D0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2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02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02D7"/>
    <w:pPr>
      <w:numPr>
        <w:numId w:val="5"/>
      </w:numPr>
    </w:pPr>
  </w:style>
  <w:style w:type="paragraph" w:styleId="ListContinue2">
    <w:name w:val="List Continue 2"/>
    <w:basedOn w:val="List2"/>
    <w:rsid w:val="003D02D7"/>
    <w:pPr>
      <w:ind w:firstLine="0"/>
    </w:pPr>
  </w:style>
  <w:style w:type="paragraph" w:styleId="ListContinue3">
    <w:name w:val="List Continue 3"/>
    <w:basedOn w:val="List3"/>
    <w:rsid w:val="003D02D7"/>
    <w:pPr>
      <w:ind w:left="1021" w:firstLine="0"/>
    </w:pPr>
  </w:style>
  <w:style w:type="paragraph" w:styleId="ListContinue4">
    <w:name w:val="List Continue 4"/>
    <w:basedOn w:val="List4"/>
    <w:rsid w:val="003D02D7"/>
    <w:pPr>
      <w:ind w:firstLine="0"/>
    </w:pPr>
  </w:style>
  <w:style w:type="paragraph" w:styleId="ListContinue5">
    <w:name w:val="List Continue 5"/>
    <w:basedOn w:val="List5"/>
    <w:rsid w:val="003D02D7"/>
    <w:pPr>
      <w:ind w:firstLine="0"/>
    </w:pPr>
  </w:style>
  <w:style w:type="paragraph" w:styleId="ListNumber3">
    <w:name w:val="List Number 3"/>
    <w:basedOn w:val="List3"/>
    <w:rsid w:val="003D02D7"/>
    <w:pPr>
      <w:numPr>
        <w:numId w:val="6"/>
      </w:numPr>
    </w:pPr>
  </w:style>
  <w:style w:type="paragraph" w:styleId="ListNumber4">
    <w:name w:val="List Number 4"/>
    <w:basedOn w:val="List4"/>
    <w:rsid w:val="003D02D7"/>
    <w:pPr>
      <w:numPr>
        <w:numId w:val="7"/>
      </w:numPr>
    </w:pPr>
  </w:style>
  <w:style w:type="paragraph" w:styleId="ListNumber5">
    <w:name w:val="List Number 5"/>
    <w:basedOn w:val="List5"/>
    <w:rsid w:val="003D02D7"/>
    <w:pPr>
      <w:numPr>
        <w:numId w:val="8"/>
      </w:numPr>
    </w:pPr>
  </w:style>
  <w:style w:type="paragraph" w:styleId="BlockText">
    <w:name w:val="Block Text"/>
    <w:basedOn w:val="Normal"/>
    <w:rsid w:val="003D0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2D7"/>
    <w:rPr>
      <w:sz w:val="16"/>
      <w:vertAlign w:val="superscript"/>
    </w:rPr>
  </w:style>
  <w:style w:type="character" w:customStyle="1" w:styleId="Symbols">
    <w:name w:val="Symbols"/>
    <w:basedOn w:val="DefaultParagraphFont"/>
    <w:rsid w:val="003D02D7"/>
    <w:rPr>
      <w:rFonts w:ascii="Symbol" w:hAnsi="Symbol"/>
    </w:rPr>
  </w:style>
  <w:style w:type="character" w:customStyle="1" w:styleId="MenuOptions">
    <w:name w:val="Menu Options"/>
    <w:basedOn w:val="DefaultParagraphFont"/>
    <w:rsid w:val="003D0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2D7"/>
    <w:rPr>
      <w:b/>
    </w:rPr>
  </w:style>
  <w:style w:type="character" w:customStyle="1" w:styleId="Underlined">
    <w:name w:val="Underlined"/>
    <w:basedOn w:val="DefaultParagraphFont"/>
    <w:rsid w:val="003D02D7"/>
    <w:rPr>
      <w:u w:val="single"/>
    </w:rPr>
  </w:style>
  <w:style w:type="paragraph" w:customStyle="1" w:styleId="TableBodyTextRight">
    <w:name w:val="Table Body Text Right"/>
    <w:basedOn w:val="TableBodyText"/>
    <w:rsid w:val="003D0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2D7"/>
    <w:rPr>
      <w:sz w:val="18"/>
    </w:rPr>
  </w:style>
  <w:style w:type="paragraph" w:customStyle="1" w:styleId="BodySmallRight">
    <w:name w:val="Body Small Right"/>
    <w:basedOn w:val="BodyTextRight"/>
    <w:rsid w:val="003D02D7"/>
    <w:rPr>
      <w:sz w:val="18"/>
      <w:szCs w:val="18"/>
    </w:rPr>
  </w:style>
  <w:style w:type="paragraph" w:customStyle="1" w:styleId="MarginEdition">
    <w:name w:val="Margin Edition"/>
    <w:basedOn w:val="MarginNote"/>
    <w:rsid w:val="003D0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2D7"/>
    <w:rPr>
      <w:sz w:val="2"/>
      <w:szCs w:val="2"/>
    </w:rPr>
  </w:style>
  <w:style w:type="character" w:customStyle="1" w:styleId="Small">
    <w:name w:val="Small"/>
    <w:basedOn w:val="DefaultParagraphFont"/>
    <w:rsid w:val="003D02D7"/>
    <w:rPr>
      <w:sz w:val="16"/>
    </w:rPr>
  </w:style>
  <w:style w:type="paragraph" w:customStyle="1" w:styleId="WideTable">
    <w:name w:val="Wide Table"/>
    <w:basedOn w:val="Normal"/>
    <w:rsid w:val="003D0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2D7"/>
  </w:style>
  <w:style w:type="paragraph" w:styleId="Quote">
    <w:name w:val="Quote"/>
    <w:basedOn w:val="Heading1"/>
    <w:link w:val="QuoteChar"/>
    <w:qFormat/>
    <w:rsid w:val="003D0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2D7"/>
    <w:pPr>
      <w:pageBreakBefore/>
    </w:pPr>
  </w:style>
  <w:style w:type="paragraph" w:customStyle="1" w:styleId="Border">
    <w:name w:val="Border"/>
    <w:basedOn w:val="Normal"/>
    <w:qFormat/>
    <w:rsid w:val="003D0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2D7"/>
    <w:rPr>
      <w:u w:val="single"/>
    </w:rPr>
  </w:style>
  <w:style w:type="character" w:customStyle="1" w:styleId="BoldandItalics">
    <w:name w:val="Bold and Italics"/>
    <w:qFormat/>
    <w:rsid w:val="003D02D7"/>
    <w:rPr>
      <w:b/>
      <w:i/>
      <w:u w:val="none"/>
    </w:rPr>
  </w:style>
  <w:style w:type="paragraph" w:styleId="BalloonText">
    <w:name w:val="Balloon Text"/>
    <w:basedOn w:val="Normal"/>
    <w:link w:val="BalloonTextChar"/>
    <w:rsid w:val="003D0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2D7"/>
    <w:pPr>
      <w:spacing w:before="0" w:after="0"/>
    </w:pPr>
  </w:style>
  <w:style w:type="paragraph" w:customStyle="1" w:styleId="BodyTextBold">
    <w:name w:val="Body Text Bold"/>
    <w:basedOn w:val="BodyText"/>
    <w:qFormat/>
    <w:rsid w:val="003D02D7"/>
    <w:rPr>
      <w:b/>
    </w:rPr>
  </w:style>
  <w:style w:type="character" w:styleId="Hyperlink">
    <w:name w:val="Hyperlink"/>
    <w:basedOn w:val="DefaultParagraphFont"/>
    <w:uiPriority w:val="99"/>
    <w:unhideWhenUsed/>
    <w:rsid w:val="00C02D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3671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HLTKIN002 Conduct indicator muscle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2023-07-02T01:39:00Z</dcterms:created>
  <dcterms:modified xsi:type="dcterms:W3CDTF">2023-07-02T01:39:00Z</dcterms:modified>
</cp:coreProperties>
</file>