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2EE2" w:rsidP="00222E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HLTINF002 Process reusable medical devices and equipment</w:t>
      </w:r>
      <w:r>
        <w:fldChar w:fldCharType="end"/>
      </w:r>
    </w:p>
    <w:p w:rsidR="00222EE2" w:rsidP="00222EE2">
      <w:pPr>
        <w:pStyle w:val="Version"/>
        <w:sectPr w:rsidSect="00AD6B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6B1C" w:rsidP="00AD6B1C">
      <w:pPr>
        <w:pStyle w:val="SuperHeading"/>
      </w:pPr>
      <w:r w:rsidRPr="00AD6B1C">
        <w:t>HLTINF002 Process reusable medical devices and equipment</w:t>
      </w:r>
    </w:p>
    <w:p w:rsidR="00000000" w:rsidRPr="00AD6B1C" w:rsidP="00AD6B1C">
      <w:pPr>
        <w:pStyle w:val="Heading1"/>
      </w:pPr>
      <w:bookmarkStart w:id="1" w:name="O_656605"/>
      <w:bookmarkEnd w:id="1"/>
      <w:r w:rsidRPr="00AD6B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D6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B1C" w:rsidP="00AD6B1C">
            <w:pPr>
              <w:pStyle w:val="BodyText"/>
            </w:pPr>
            <w:r w:rsidRPr="00AD6B1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1C">
            <w:pPr>
              <w:pStyle w:val="BodyText"/>
              <w:rPr>
                <w:lang w:val="en-NZ"/>
              </w:rPr>
            </w:pPr>
            <w:r w:rsidRPr="00AD6B1C">
              <w:rPr>
                <w:rStyle w:val="SpecialBold"/>
              </w:rPr>
              <w:t>Comments</w:t>
            </w:r>
          </w:p>
        </w:tc>
      </w:tr>
      <w:tr w:rsidTr="00AD6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1C">
            <w:pPr>
              <w:pStyle w:val="BodyText"/>
              <w:rPr>
                <w:lang w:val="en-NZ"/>
              </w:rPr>
            </w:pPr>
            <w:r w:rsidRPr="00AD6B1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B1C" w:rsidP="00AD6B1C">
            <w:pPr>
              <w:pStyle w:val="BodyText"/>
            </w:pPr>
            <w:r w:rsidRPr="00AD6B1C">
              <w:t xml:space="preserve">This version was released in </w:t>
            </w:r>
            <w:r w:rsidRPr="00AD6B1C">
              <w:rPr>
                <w:rStyle w:val="Emphasis"/>
              </w:rPr>
              <w:t>HLT Health Training Package release 2.0</w:t>
            </w:r>
            <w:r w:rsidRPr="00AD6B1C">
              <w:t xml:space="preserve"> and meets the requirements of the 2012 Standards for Training Packages.</w:t>
            </w:r>
          </w:p>
          <w:p w:rsidR="00000000" w:rsidRPr="00AD6B1C" w:rsidP="00AD6B1C">
            <w:pPr>
              <w:pStyle w:val="BodyText"/>
            </w:pPr>
            <w:r w:rsidRPr="00AD6B1C">
              <w:t>Significant changes to the elements and performanc</w:t>
            </w:r>
            <w:r w:rsidRPr="00AD6B1C">
              <w:t>e criteria. New evidence requirements for assessment, including volume and frequency requirements. Significant change to knowledge evidence. Removed prerequisite.</w:t>
            </w:r>
          </w:p>
        </w:tc>
      </w:tr>
    </w:tbl>
    <w:p w:rsidR="00000000" w:rsidRPr="00AD6B1C" w:rsidP="00AD6B1C">
      <w:pPr>
        <w:pStyle w:val="BodyText"/>
      </w:pPr>
    </w:p>
    <w:p w:rsidR="00000000" w:rsidRPr="00AD6B1C" w:rsidP="00AD6B1C">
      <w:pPr>
        <w:pStyle w:val="AllowPageBreak"/>
      </w:pPr>
    </w:p>
    <w:p w:rsidR="00000000" w:rsidRPr="00AD6B1C" w:rsidP="00AD6B1C">
      <w:pPr>
        <w:pStyle w:val="Heading1"/>
      </w:pPr>
      <w:bookmarkStart w:id="2" w:name="O_656606"/>
      <w:bookmarkEnd w:id="2"/>
      <w:r w:rsidRPr="00AD6B1C">
        <w:t>Application</w:t>
      </w:r>
    </w:p>
    <w:p w:rsidR="00000000" w:rsidRPr="00AD6B1C" w:rsidP="00222EE2">
      <w:pPr>
        <w:pStyle w:val="BodyText"/>
      </w:pPr>
      <w:r w:rsidRPr="00AD6B1C">
        <w:t>This unit describes the skills and knowledge required to clean</w:t>
      </w:r>
      <w:r w:rsidRPr="00AD6B1C">
        <w:t xml:space="preserve">, sterilise and package reusable medical devices and equipment. </w:t>
      </w:r>
    </w:p>
    <w:p w:rsidR="00000000" w:rsidRPr="00AD6B1C" w:rsidP="00222EE2">
      <w:pPr>
        <w:pStyle w:val="BodyText"/>
      </w:pPr>
      <w:r w:rsidRPr="00AD6B1C">
        <w:t>This unit applies to workers in office based health practice settings such as general practitioner (GP) surgeries, dental practices and other environments where a limited range of sterilisat</w:t>
      </w:r>
      <w:r w:rsidRPr="00AD6B1C">
        <w:t>ion equipment may be available. They follow established procedures and work under general supervision.</w:t>
      </w:r>
    </w:p>
    <w:p w:rsidR="00222EE2" w:rsidRPr="00222EE2" w:rsidP="00222EE2">
      <w:pPr>
        <w:pStyle w:val="BodyText"/>
        <w:rPr>
          <w:i/>
        </w:rPr>
      </w:pPr>
      <w:r w:rsidRPr="00222EE2">
        <w:rPr>
          <w:rStyle w:val="Emphasis"/>
        </w:rPr>
        <w:t>The skills in this unit must be applied in accordance with Commonwealth and State/Territory legislation, Australian/New Zealand standards and industry c</w:t>
      </w:r>
      <w:r w:rsidRPr="00222EE2">
        <w:rPr>
          <w:rStyle w:val="Emphasis"/>
        </w:rPr>
        <w:t>odes of practice</w:t>
      </w:r>
    </w:p>
    <w:p w:rsidR="00000000" w:rsidRPr="00AD6B1C" w:rsidP="00AD6B1C">
      <w:pPr>
        <w:pStyle w:val="Heading1"/>
      </w:pPr>
      <w:bookmarkStart w:id="3" w:name="O_656610"/>
      <w:bookmarkEnd w:id="3"/>
      <w:r w:rsidRPr="00AD6B1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AD6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B1C" w:rsidP="00AD6B1C">
            <w:pPr>
              <w:pStyle w:val="BodyText"/>
            </w:pPr>
            <w:r w:rsidRPr="00AD6B1C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1C">
            <w:pPr>
              <w:pStyle w:val="BodyText"/>
              <w:rPr>
                <w:lang w:val="en-NZ"/>
              </w:rPr>
            </w:pPr>
            <w:r w:rsidRPr="00AD6B1C">
              <w:rPr>
                <w:rStyle w:val="SpecialBold"/>
              </w:rPr>
              <w:t>PERFORMANCE CRITERIA</w:t>
            </w:r>
          </w:p>
        </w:tc>
      </w:tr>
      <w:tr w:rsidTr="00AD6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B1C" w:rsidP="00AD6B1C">
            <w:pPr>
              <w:pStyle w:val="BodyText"/>
            </w:pPr>
            <w:r w:rsidRPr="00AD6B1C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1C">
            <w:pPr>
              <w:pStyle w:val="BodyText"/>
              <w:rPr>
                <w:lang w:val="en-NZ"/>
              </w:rPr>
            </w:pPr>
            <w:r w:rsidRPr="00AD6B1C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AD6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1C">
            <w:pPr>
              <w:pStyle w:val="BodyText"/>
              <w:rPr>
                <w:lang w:val="en-NZ"/>
              </w:rPr>
            </w:pPr>
            <w:r w:rsidRPr="00AD6B1C">
              <w:t>1. Prepare to clean used items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B1C" w:rsidP="00AD6B1C">
            <w:pPr>
              <w:pStyle w:val="BodyText"/>
            </w:pPr>
            <w:r w:rsidRPr="00AD6B1C">
              <w:t>1.1 Follow safe work practices and infection prevention and control in accordance with legislative and workplace guidelines</w:t>
            </w:r>
          </w:p>
          <w:p w:rsidR="00000000" w:rsidRPr="00AD6B1C" w:rsidP="00AD6B1C">
            <w:pPr>
              <w:pStyle w:val="BodyText"/>
            </w:pPr>
            <w:r w:rsidRPr="00AD6B1C">
              <w:t>1.2 Sort reusable medical devices and safely dispose of single use devices</w:t>
            </w:r>
          </w:p>
          <w:p w:rsidR="00000000" w:rsidRPr="00AD6B1C" w:rsidP="00AD6B1C">
            <w:pPr>
              <w:pStyle w:val="BodyText"/>
            </w:pPr>
            <w:r w:rsidRPr="00AD6B1C">
              <w:t xml:space="preserve">1.3 Segregate and dispose </w:t>
            </w:r>
            <w:r w:rsidRPr="00AD6B1C">
              <w:t xml:space="preserve">of waste according to </w:t>
            </w:r>
            <w:r w:rsidRPr="00AD6B1C">
              <w:t>organisation and legislative requirements</w:t>
            </w:r>
          </w:p>
          <w:p w:rsidR="00000000" w:rsidP="00AD6B1C">
            <w:pPr>
              <w:pStyle w:val="BodyText"/>
              <w:rPr>
                <w:lang w:val="en-NZ"/>
              </w:rPr>
            </w:pPr>
            <w:r w:rsidRPr="00AD6B1C">
              <w:t>1.4 Disassemble reusable medical devices and equipment for cleaning and disinfection according to manufacturer’s instructions</w:t>
            </w:r>
          </w:p>
        </w:tc>
      </w:tr>
      <w:tr w:rsidTr="00AD6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1C">
            <w:pPr>
              <w:pStyle w:val="BodyText"/>
              <w:rPr>
                <w:lang w:val="en-NZ"/>
              </w:rPr>
            </w:pPr>
          </w:p>
        </w:tc>
      </w:tr>
      <w:tr w:rsidTr="00AD6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1C">
            <w:pPr>
              <w:pStyle w:val="BodyText"/>
              <w:rPr>
                <w:lang w:val="en-NZ"/>
              </w:rPr>
            </w:pPr>
            <w:r w:rsidRPr="00AD6B1C">
              <w:t>2. Clean and dry used items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B1C" w:rsidP="00AD6B1C">
            <w:pPr>
              <w:pStyle w:val="BodyText"/>
            </w:pPr>
            <w:r w:rsidRPr="00AD6B1C">
              <w:t>2.1 Maintain work flow protocols i</w:t>
            </w:r>
            <w:r w:rsidRPr="00AD6B1C">
              <w:t>n reprocessing area</w:t>
            </w:r>
          </w:p>
          <w:p w:rsidR="00000000" w:rsidRPr="00AD6B1C" w:rsidP="00AD6B1C">
            <w:pPr>
              <w:pStyle w:val="BodyText"/>
            </w:pPr>
            <w:r w:rsidRPr="00AD6B1C">
              <w:t>2.2 Interpret safety data sheet (SDS) and select required cleaning products</w:t>
            </w:r>
          </w:p>
          <w:p w:rsidR="00000000" w:rsidRPr="00AD6B1C" w:rsidP="00AD6B1C">
            <w:pPr>
              <w:pStyle w:val="BodyText"/>
            </w:pPr>
            <w:r w:rsidRPr="00AD6B1C">
              <w:t>2.3 Select cleaning processes based on manufacturer’s recommendations and evaluation of reusable medical devices construction and composition</w:t>
            </w:r>
          </w:p>
          <w:p w:rsidR="00000000" w:rsidRPr="00AD6B1C" w:rsidP="00AD6B1C">
            <w:pPr>
              <w:pStyle w:val="BodyText"/>
            </w:pPr>
            <w:r w:rsidRPr="00AD6B1C">
              <w:t>2.4 Use cleaning m</w:t>
            </w:r>
            <w:r w:rsidRPr="00AD6B1C">
              <w:t>ethods that avoid the generation of aerosols</w:t>
            </w:r>
          </w:p>
          <w:p w:rsidR="00000000" w:rsidRPr="00AD6B1C" w:rsidP="00AD6B1C">
            <w:pPr>
              <w:pStyle w:val="BodyText"/>
            </w:pPr>
            <w:r w:rsidRPr="00AD6B1C">
              <w:t>2.5 Make accurate calculations for the preparation of cleaning chemicals</w:t>
            </w:r>
          </w:p>
          <w:p w:rsidR="00000000" w:rsidP="00AD6B1C">
            <w:pPr>
              <w:pStyle w:val="BodyText"/>
              <w:rPr>
                <w:lang w:val="en-NZ"/>
              </w:rPr>
            </w:pPr>
            <w:r w:rsidRPr="00AD6B1C">
              <w:t xml:space="preserve">2.6 Dry and inspect reusable medical devices for cleanliness and damage </w:t>
            </w:r>
          </w:p>
        </w:tc>
      </w:tr>
      <w:tr w:rsidTr="00AD6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1C">
            <w:pPr>
              <w:pStyle w:val="BodyText"/>
              <w:rPr>
                <w:lang w:val="en-NZ"/>
              </w:rPr>
            </w:pPr>
          </w:p>
        </w:tc>
      </w:tr>
      <w:tr w:rsidTr="00AD6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1C">
            <w:pPr>
              <w:pStyle w:val="BodyText"/>
              <w:rPr>
                <w:lang w:val="en-NZ"/>
              </w:rPr>
            </w:pPr>
            <w:r w:rsidRPr="00AD6B1C">
              <w:t>3. Prepare and pack items for sterilisation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B1C" w:rsidP="00AD6B1C">
            <w:pPr>
              <w:pStyle w:val="BodyText"/>
            </w:pPr>
            <w:r w:rsidRPr="00AD6B1C">
              <w:t>3.1 Open and unlock reusable medical devices with hinges or ratchets</w:t>
            </w:r>
          </w:p>
          <w:p w:rsidR="00000000" w:rsidRPr="00AD6B1C" w:rsidP="00AD6B1C">
            <w:pPr>
              <w:pStyle w:val="BodyText"/>
            </w:pPr>
            <w:r w:rsidRPr="00AD6B1C">
              <w:t>3.2 Prepare instrument trays in accordance with workplace protocols</w:t>
            </w:r>
          </w:p>
          <w:p w:rsidR="00000000" w:rsidRPr="00AD6B1C" w:rsidP="00AD6B1C">
            <w:pPr>
              <w:pStyle w:val="BodyText"/>
            </w:pPr>
            <w:r w:rsidRPr="00AD6B1C">
              <w:t>3.3 Package or wrap reusable medical devices in a manner that prevents damage to delicate items</w:t>
            </w:r>
          </w:p>
          <w:p w:rsidR="00000000" w:rsidRPr="00AD6B1C" w:rsidP="00AD6B1C">
            <w:pPr>
              <w:pStyle w:val="BodyText"/>
            </w:pPr>
            <w:r w:rsidRPr="00AD6B1C">
              <w:t>3.4 Use chemical indica</w:t>
            </w:r>
            <w:r w:rsidRPr="00AD6B1C">
              <w:t xml:space="preserve">tor according to standards </w:t>
            </w:r>
          </w:p>
          <w:p w:rsidR="00000000" w:rsidP="00AD6B1C">
            <w:pPr>
              <w:pStyle w:val="BodyText"/>
              <w:rPr>
                <w:lang w:val="en-NZ"/>
              </w:rPr>
            </w:pPr>
            <w:r w:rsidRPr="00AD6B1C">
              <w:t>3.5 Pack, secure and label sterile barrier systems (SBS) to comply with aseptic removal principles</w:t>
            </w:r>
          </w:p>
        </w:tc>
      </w:tr>
      <w:tr w:rsidTr="00AD6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1C">
            <w:pPr>
              <w:pStyle w:val="BodyText"/>
              <w:rPr>
                <w:lang w:val="en-NZ"/>
              </w:rPr>
            </w:pPr>
          </w:p>
        </w:tc>
      </w:tr>
      <w:tr w:rsidTr="00AD6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1C">
            <w:pPr>
              <w:pStyle w:val="BodyText"/>
              <w:rPr>
                <w:lang w:val="en-NZ"/>
              </w:rPr>
            </w:pPr>
            <w:r w:rsidRPr="00AD6B1C">
              <w:t>4. Sterilise loads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B1C" w:rsidP="00AD6B1C">
            <w:pPr>
              <w:pStyle w:val="BodyText"/>
            </w:pPr>
            <w:r w:rsidRPr="00AD6B1C">
              <w:t>4.1 Interpret and apply manufacturer recommendations for cleaning and checking of steriliser and accessory</w:t>
            </w:r>
            <w:r w:rsidRPr="00AD6B1C">
              <w:t xml:space="preserve"> equipment. </w:t>
            </w:r>
          </w:p>
          <w:p w:rsidR="00000000" w:rsidRPr="00AD6B1C" w:rsidP="00AD6B1C">
            <w:pPr>
              <w:pStyle w:val="BodyText"/>
            </w:pPr>
            <w:r w:rsidRPr="00AD6B1C">
              <w:t xml:space="preserve">4.2 Correctly use the numerical and other features of the steriliser and operate in accordance with manufacturer </w:t>
            </w:r>
            <w:r w:rsidRPr="00AD6B1C">
              <w:t xml:space="preserve">instructions </w:t>
            </w:r>
          </w:p>
          <w:p w:rsidR="00000000" w:rsidRPr="00AD6B1C" w:rsidP="00AD6B1C">
            <w:pPr>
              <w:pStyle w:val="BodyText"/>
            </w:pPr>
            <w:r w:rsidRPr="00AD6B1C">
              <w:t xml:space="preserve">4.3 Assign cycle and batch control number and complete documentation. </w:t>
            </w:r>
          </w:p>
          <w:p w:rsidR="00000000" w:rsidRPr="00AD6B1C" w:rsidP="00AD6B1C">
            <w:pPr>
              <w:pStyle w:val="BodyText"/>
            </w:pPr>
            <w:r w:rsidRPr="00AD6B1C">
              <w:t>4.4 Load steriliser to ensure sterilant conta</w:t>
            </w:r>
            <w:r w:rsidRPr="00AD6B1C">
              <w:t xml:space="preserve">ct and according to standards </w:t>
            </w:r>
          </w:p>
          <w:p w:rsidR="00000000" w:rsidRPr="00AD6B1C" w:rsidP="00AD6B1C">
            <w:pPr>
              <w:pStyle w:val="BodyText"/>
            </w:pPr>
            <w:r w:rsidRPr="00AD6B1C">
              <w:t>4.5 Remove sterilised load immediately on completion of cycle</w:t>
            </w:r>
          </w:p>
          <w:p w:rsidR="00000000" w:rsidP="00AD6B1C">
            <w:pPr>
              <w:pStyle w:val="BodyText"/>
              <w:rPr>
                <w:lang w:val="en-NZ"/>
              </w:rPr>
            </w:pPr>
            <w:r w:rsidRPr="00AD6B1C">
              <w:t>4.6  Follow criteria for release of processed items considering manual task risk factors</w:t>
            </w:r>
          </w:p>
        </w:tc>
      </w:tr>
      <w:tr w:rsidTr="00AD6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1C">
            <w:pPr>
              <w:pStyle w:val="BodyText"/>
              <w:rPr>
                <w:lang w:val="en-NZ"/>
              </w:rPr>
            </w:pPr>
          </w:p>
        </w:tc>
      </w:tr>
      <w:tr w:rsidTr="00AD6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1C">
            <w:pPr>
              <w:pStyle w:val="BodyText"/>
              <w:rPr>
                <w:lang w:val="en-NZ"/>
              </w:rPr>
            </w:pPr>
            <w:r w:rsidRPr="00AD6B1C">
              <w:t>5. Comply with quality management requirements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B1C" w:rsidP="00AD6B1C">
            <w:pPr>
              <w:pStyle w:val="BodyText"/>
            </w:pPr>
            <w:r w:rsidRPr="00AD6B1C">
              <w:t xml:space="preserve">5.1 Interpret and adhere to operational monitoring and testing, performance qualification and maintenance of sterilisers and associated equipment </w:t>
            </w:r>
          </w:p>
          <w:p w:rsidR="00000000" w:rsidRPr="00AD6B1C" w:rsidP="00AD6B1C">
            <w:pPr>
              <w:pStyle w:val="BodyText"/>
            </w:pPr>
            <w:r w:rsidRPr="00AD6B1C">
              <w:t xml:space="preserve">5.2 Comply with documentation requirements for sterilisation cycles, batch control and load release </w:t>
            </w:r>
          </w:p>
          <w:p w:rsidR="00000000" w:rsidRPr="00AD6B1C" w:rsidP="00AD6B1C">
            <w:pPr>
              <w:pStyle w:val="BodyText"/>
            </w:pPr>
            <w:r w:rsidRPr="00AD6B1C">
              <w:t>5.3 Repo</w:t>
            </w:r>
            <w:r w:rsidRPr="00AD6B1C">
              <w:t>rt and document all steriliser faults, malfunction and load non-conformance</w:t>
            </w:r>
          </w:p>
          <w:p w:rsidR="00000000" w:rsidRPr="00AD6B1C" w:rsidP="00AD6B1C">
            <w:pPr>
              <w:pStyle w:val="BodyText"/>
            </w:pPr>
            <w:r w:rsidRPr="00AD6B1C">
              <w:t>5.4 Store documentation in accordance with organisation procedures</w:t>
            </w:r>
          </w:p>
        </w:tc>
      </w:tr>
    </w:tbl>
    <w:p w:rsidR="00222EE2" w:rsidP="00AD6B1C">
      <w:pPr>
        <w:pStyle w:val="BodyText"/>
      </w:pPr>
    </w:p>
    <w:p w:rsidR="00222EE2" w:rsidP="00AD6B1C">
      <w:pPr>
        <w:pStyle w:val="BodyText"/>
      </w:pPr>
    </w:p>
    <w:p w:rsidR="00000000" w:rsidRPr="00AD6B1C" w:rsidP="00AD6B1C">
      <w:pPr>
        <w:pStyle w:val="Heading1"/>
      </w:pPr>
      <w:bookmarkStart w:id="4" w:name="O_656611"/>
      <w:bookmarkEnd w:id="4"/>
      <w:r w:rsidRPr="00AD6B1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AD6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1C">
            <w:pPr>
              <w:pStyle w:val="BodyText"/>
              <w:rPr>
                <w:lang w:val="en-NZ"/>
              </w:rPr>
            </w:pPr>
            <w:r w:rsidRPr="00AD6B1C">
              <w:rPr>
                <w:rStyle w:val="Emphasis"/>
              </w:rPr>
              <w:t>The Foundation Skills describe those required skills (language, literacy, n</w:t>
            </w:r>
            <w:r w:rsidRPr="00AD6B1C">
              <w:rPr>
                <w:rStyle w:val="Emphasis"/>
              </w:rPr>
              <w:t xml:space="preserve">umeracy and employment </w:t>
            </w:r>
            <w:r w:rsidRPr="00AD6B1C">
              <w:t xml:space="preserve">skills) </w:t>
            </w:r>
            <w:r w:rsidRPr="00AD6B1C">
              <w:rPr>
                <w:rStyle w:val="Emphasis"/>
              </w:rPr>
              <w:t>that are essential to performance.</w:t>
            </w:r>
          </w:p>
        </w:tc>
      </w:tr>
      <w:tr w:rsidTr="00AD6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1C">
            <w:pPr>
              <w:pStyle w:val="BodyText"/>
              <w:rPr>
                <w:lang w:val="en-NZ"/>
              </w:rPr>
            </w:pPr>
          </w:p>
        </w:tc>
      </w:tr>
      <w:tr w:rsidTr="00AD6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B1C" w:rsidP="00AD6B1C">
            <w:pPr>
              <w:pStyle w:val="BodyText"/>
            </w:pPr>
            <w:r w:rsidRPr="00AD6B1C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AD6B1C" w:rsidP="00AD6B1C">
      <w:pPr>
        <w:pStyle w:val="BodyText"/>
      </w:pPr>
    </w:p>
    <w:p w:rsidR="00000000" w:rsidRPr="00AD6B1C" w:rsidP="00AD6B1C">
      <w:pPr>
        <w:pStyle w:val="AllowPageBreak"/>
      </w:pPr>
    </w:p>
    <w:p w:rsidR="00000000" w:rsidRPr="00AD6B1C" w:rsidP="00AD6B1C">
      <w:pPr>
        <w:pStyle w:val="Heading1"/>
      </w:pPr>
      <w:bookmarkStart w:id="5" w:name="O_656613"/>
      <w:bookmarkEnd w:id="5"/>
      <w:r w:rsidRPr="00AD6B1C">
        <w:t>Unit Mapping Information</w:t>
      </w:r>
    </w:p>
    <w:p w:rsidR="00000000" w:rsidRPr="00AD6B1C" w:rsidP="00222EE2">
      <w:pPr>
        <w:pStyle w:val="BodyText"/>
      </w:pPr>
      <w:r w:rsidRPr="00AD6B1C">
        <w:t xml:space="preserve">No equivalent unit. </w:t>
      </w:r>
    </w:p>
    <w:p w:rsidR="00000000" w:rsidRPr="00AD6B1C" w:rsidP="00AD6B1C">
      <w:pPr>
        <w:pStyle w:val="Heading1"/>
      </w:pPr>
      <w:bookmarkStart w:id="6" w:name="O_656620"/>
      <w:bookmarkEnd w:id="6"/>
      <w:r w:rsidRPr="00AD6B1C">
        <w:t>Links</w:t>
      </w:r>
    </w:p>
    <w:p w:rsidR="00000000" w:rsidRPr="00AD6B1C" w:rsidP="00222EE2">
      <w:pPr>
        <w:pStyle w:val="BodyText"/>
      </w:pPr>
      <w:r w:rsidRPr="00AD6B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44F9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D6B1C" w:rsidP="00AD6B1C"/>
    <w:sectPr w:rsidSect="00AD6B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B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B1C" w:rsidRPr="00222EE2" w:rsidP="00222E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B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EE2" w:rsidP="00AD6B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2EE2" w:rsidP="00AD6B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22EE2" w:rsidP="00AD6B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B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E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6B1C" w:rsidRPr="00222EE2" w:rsidP="00222E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B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EE2" w:rsidRPr="002D2AF8" w:rsidP="00AD6B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HLTINF002 Process reusable medical devices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22EE2" w:rsidP="00AD6B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B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6B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6B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6B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6B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6B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6B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6B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6B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6B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6B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6B1C"/>
  </w:style>
  <w:style w:type="character" w:customStyle="1" w:styleId="Heading1Char">
    <w:name w:val="Heading 1 Char"/>
    <w:basedOn w:val="DefaultParagraphFont"/>
    <w:link w:val="Heading1"/>
    <w:rsid w:val="00AD6B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6B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6B1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D6B1C"/>
    <w:rPr>
      <w:b/>
      <w:spacing w:val="0"/>
    </w:rPr>
  </w:style>
  <w:style w:type="character" w:styleId="Emphasis">
    <w:name w:val="Emphasis"/>
    <w:basedOn w:val="DefaultParagraphFont"/>
    <w:qFormat/>
    <w:rsid w:val="00AD6B1C"/>
    <w:rPr>
      <w:i/>
    </w:rPr>
  </w:style>
  <w:style w:type="paragraph" w:customStyle="1" w:styleId="SuperHeading">
    <w:name w:val="SuperHeading"/>
    <w:basedOn w:val="Normal"/>
    <w:rsid w:val="00AD6B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6B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6B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6B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6B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6B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6B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6B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6B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6B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6B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6B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6B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6B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6B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6B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6B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6B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6B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6B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6B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6B1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D6B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6B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6B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6B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6B1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6B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6B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6B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6B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6B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6B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6B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6B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6B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6B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6B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6B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6B1C"/>
  </w:style>
  <w:style w:type="paragraph" w:styleId="TableofFigures">
    <w:name w:val="table of figures"/>
    <w:basedOn w:val="Normal"/>
    <w:next w:val="Normal"/>
    <w:semiHidden/>
    <w:rsid w:val="00AD6B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6B1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D6B1C"/>
    <w:rPr>
      <w:rFonts w:ascii="Wingdings" w:hAnsi="Wingdings"/>
    </w:rPr>
  </w:style>
  <w:style w:type="paragraph" w:customStyle="1" w:styleId="TableHeading">
    <w:name w:val="Table Heading"/>
    <w:basedOn w:val="HeadingBase"/>
    <w:rsid w:val="00AD6B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6B1C"/>
    <w:rPr>
      <w:color w:val="0033CC"/>
      <w:u w:val="none"/>
    </w:rPr>
  </w:style>
  <w:style w:type="paragraph" w:customStyle="1" w:styleId="BodyTextRight">
    <w:name w:val="Body Text Right"/>
    <w:basedOn w:val="BodyText"/>
    <w:rsid w:val="00AD6B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6B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6B1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6B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6B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6B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6B1C"/>
    <w:rPr>
      <w:sz w:val="32"/>
    </w:rPr>
  </w:style>
  <w:style w:type="paragraph" w:customStyle="1" w:styleId="HeadingProcedure">
    <w:name w:val="Heading Procedure"/>
    <w:basedOn w:val="HeadingBase"/>
    <w:next w:val="Normal"/>
    <w:rsid w:val="00AD6B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6B1C"/>
    <w:pPr>
      <w:spacing w:before="60" w:after="60"/>
    </w:pPr>
  </w:style>
  <w:style w:type="paragraph" w:styleId="ListContinue">
    <w:name w:val="List Continue"/>
    <w:basedOn w:val="List"/>
    <w:rsid w:val="00AD6B1C"/>
    <w:pPr>
      <w:ind w:firstLine="0"/>
    </w:pPr>
  </w:style>
  <w:style w:type="paragraph" w:customStyle="1" w:styleId="ListNote">
    <w:name w:val="List Note"/>
    <w:basedOn w:val="List"/>
    <w:rsid w:val="00AD6B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6B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6B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6B1C"/>
    <w:rPr>
      <w:rFonts w:ascii="Courier New" w:hAnsi="Courier New"/>
    </w:rPr>
  </w:style>
  <w:style w:type="paragraph" w:customStyle="1" w:styleId="NoteBullet">
    <w:name w:val="Note Bullet"/>
    <w:basedOn w:val="Note"/>
    <w:rsid w:val="00AD6B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6B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6B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6B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6B1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D6B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6B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6B1C"/>
    <w:rPr>
      <w:b/>
      <w:smallCaps/>
    </w:rPr>
  </w:style>
  <w:style w:type="paragraph" w:customStyle="1" w:styleId="TableListNumber">
    <w:name w:val="Table List Number"/>
    <w:basedOn w:val="ListNumber"/>
    <w:rsid w:val="00AD6B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6B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6B1C"/>
    <w:pPr>
      <w:numPr>
        <w:numId w:val="7"/>
      </w:numPr>
    </w:pPr>
  </w:style>
  <w:style w:type="paragraph" w:customStyle="1" w:styleId="ListAlpha2">
    <w:name w:val="List Alpha 2"/>
    <w:basedOn w:val="List2"/>
    <w:rsid w:val="00AD6B1C"/>
    <w:pPr>
      <w:numPr>
        <w:numId w:val="6"/>
      </w:numPr>
    </w:pPr>
  </w:style>
  <w:style w:type="paragraph" w:styleId="List2">
    <w:name w:val="List 2"/>
    <w:basedOn w:val="BodyText"/>
    <w:rsid w:val="00AD6B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6B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6B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6B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6B1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6B1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D6B1C"/>
    <w:pPr>
      <w:numPr>
        <w:numId w:val="2"/>
      </w:numPr>
    </w:pPr>
  </w:style>
  <w:style w:type="paragraph" w:styleId="ListContinue2">
    <w:name w:val="List Continue 2"/>
    <w:basedOn w:val="List2"/>
    <w:rsid w:val="00AD6B1C"/>
    <w:pPr>
      <w:ind w:firstLine="0"/>
    </w:pPr>
  </w:style>
  <w:style w:type="paragraph" w:styleId="ListContinue3">
    <w:name w:val="List Continue 3"/>
    <w:basedOn w:val="List3"/>
    <w:rsid w:val="00AD6B1C"/>
    <w:pPr>
      <w:ind w:left="1021" w:firstLine="0"/>
    </w:pPr>
  </w:style>
  <w:style w:type="paragraph" w:styleId="ListContinue4">
    <w:name w:val="List Continue 4"/>
    <w:basedOn w:val="List4"/>
    <w:rsid w:val="00AD6B1C"/>
    <w:pPr>
      <w:ind w:firstLine="0"/>
    </w:pPr>
  </w:style>
  <w:style w:type="paragraph" w:styleId="ListContinue5">
    <w:name w:val="List Continue 5"/>
    <w:basedOn w:val="List5"/>
    <w:rsid w:val="00AD6B1C"/>
    <w:pPr>
      <w:ind w:firstLine="0"/>
    </w:pPr>
  </w:style>
  <w:style w:type="paragraph" w:styleId="ListNumber3">
    <w:name w:val="List Number 3"/>
    <w:basedOn w:val="List3"/>
    <w:rsid w:val="00AD6B1C"/>
    <w:pPr>
      <w:numPr>
        <w:numId w:val="3"/>
      </w:numPr>
    </w:pPr>
  </w:style>
  <w:style w:type="paragraph" w:styleId="ListNumber4">
    <w:name w:val="List Number 4"/>
    <w:basedOn w:val="List4"/>
    <w:rsid w:val="00AD6B1C"/>
    <w:pPr>
      <w:numPr>
        <w:numId w:val="4"/>
      </w:numPr>
    </w:pPr>
  </w:style>
  <w:style w:type="paragraph" w:styleId="ListNumber5">
    <w:name w:val="List Number 5"/>
    <w:basedOn w:val="List5"/>
    <w:rsid w:val="00AD6B1C"/>
    <w:pPr>
      <w:numPr>
        <w:numId w:val="5"/>
      </w:numPr>
    </w:pPr>
  </w:style>
  <w:style w:type="paragraph" w:styleId="BlockText">
    <w:name w:val="Block Text"/>
    <w:basedOn w:val="Normal"/>
    <w:rsid w:val="00AD6B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6B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6B1C"/>
    <w:rPr>
      <w:sz w:val="16"/>
      <w:vertAlign w:val="superscript"/>
    </w:rPr>
  </w:style>
  <w:style w:type="character" w:customStyle="1" w:styleId="Symbols">
    <w:name w:val="Symbols"/>
    <w:basedOn w:val="DefaultParagraphFont"/>
    <w:rsid w:val="00AD6B1C"/>
    <w:rPr>
      <w:rFonts w:ascii="Symbol" w:hAnsi="Symbol"/>
    </w:rPr>
  </w:style>
  <w:style w:type="character" w:customStyle="1" w:styleId="MenuOptions">
    <w:name w:val="Menu Options"/>
    <w:basedOn w:val="DefaultParagraphFont"/>
    <w:rsid w:val="00AD6B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6B1C"/>
    <w:rPr>
      <w:b/>
    </w:rPr>
  </w:style>
  <w:style w:type="character" w:customStyle="1" w:styleId="Underlined">
    <w:name w:val="Underlined"/>
    <w:basedOn w:val="DefaultParagraphFont"/>
    <w:rsid w:val="00AD6B1C"/>
    <w:rPr>
      <w:u w:val="single"/>
    </w:rPr>
  </w:style>
  <w:style w:type="paragraph" w:customStyle="1" w:styleId="TableBodyTextRight">
    <w:name w:val="Table Body Text Right"/>
    <w:basedOn w:val="TableBodyText"/>
    <w:rsid w:val="00AD6B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6B1C"/>
    <w:rPr>
      <w:sz w:val="18"/>
    </w:rPr>
  </w:style>
  <w:style w:type="paragraph" w:customStyle="1" w:styleId="BodySmallRight">
    <w:name w:val="Body Small Right"/>
    <w:basedOn w:val="BodyTextRight"/>
    <w:rsid w:val="00AD6B1C"/>
    <w:rPr>
      <w:sz w:val="18"/>
      <w:szCs w:val="18"/>
    </w:rPr>
  </w:style>
  <w:style w:type="paragraph" w:customStyle="1" w:styleId="MarginEdition">
    <w:name w:val="Margin Edition"/>
    <w:basedOn w:val="MarginNote"/>
    <w:rsid w:val="00AD6B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6B1C"/>
    <w:rPr>
      <w:sz w:val="2"/>
      <w:szCs w:val="2"/>
    </w:rPr>
  </w:style>
  <w:style w:type="character" w:customStyle="1" w:styleId="Small">
    <w:name w:val="Small"/>
    <w:basedOn w:val="DefaultParagraphFont"/>
    <w:rsid w:val="00AD6B1C"/>
    <w:rPr>
      <w:sz w:val="16"/>
    </w:rPr>
  </w:style>
  <w:style w:type="paragraph" w:customStyle="1" w:styleId="WideTable">
    <w:name w:val="Wide Table"/>
    <w:basedOn w:val="Normal"/>
    <w:rsid w:val="00AD6B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6B1C"/>
  </w:style>
  <w:style w:type="paragraph" w:styleId="Quote">
    <w:name w:val="Quote"/>
    <w:basedOn w:val="Heading1"/>
    <w:link w:val="QuoteChar"/>
    <w:qFormat/>
    <w:rsid w:val="00AD6B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6B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6B1C"/>
    <w:pPr>
      <w:pageBreakBefore/>
    </w:pPr>
  </w:style>
  <w:style w:type="paragraph" w:customStyle="1" w:styleId="Border">
    <w:name w:val="Border"/>
    <w:basedOn w:val="Normal"/>
    <w:qFormat/>
    <w:rsid w:val="00AD6B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6B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B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B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6B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6B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6B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6B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6B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6B1C"/>
    <w:rPr>
      <w:u w:val="single"/>
    </w:rPr>
  </w:style>
  <w:style w:type="character" w:customStyle="1" w:styleId="BoldandItalics">
    <w:name w:val="Bold and Italics"/>
    <w:qFormat/>
    <w:rsid w:val="00AD6B1C"/>
    <w:rPr>
      <w:b/>
      <w:i/>
      <w:u w:val="none"/>
    </w:rPr>
  </w:style>
  <w:style w:type="paragraph" w:styleId="BalloonText">
    <w:name w:val="Balloon Text"/>
    <w:basedOn w:val="Normal"/>
    <w:link w:val="BalloonTextChar"/>
    <w:rsid w:val="00AD6B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6B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6B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6B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6B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6B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6B1C"/>
    <w:pPr>
      <w:spacing w:before="0" w:after="0"/>
    </w:pPr>
  </w:style>
  <w:style w:type="paragraph" w:customStyle="1" w:styleId="BodyTextBold">
    <w:name w:val="Body Text Bold"/>
    <w:basedOn w:val="BodyText"/>
    <w:qFormat/>
    <w:rsid w:val="00AD6B1C"/>
    <w:rPr>
      <w:b/>
    </w:rPr>
  </w:style>
  <w:style w:type="character" w:styleId="Hyperlink">
    <w:name w:val="Hyperlink"/>
    <w:basedOn w:val="DefaultParagraphFont"/>
    <w:uiPriority w:val="99"/>
    <w:unhideWhenUsed/>
    <w:rsid w:val="00222E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3796</Characters>
  <Application>Microsoft Office Word</Application>
  <DocSecurity>0</DocSecurity>
  <Lines>130</Lines>
  <Paragraphs>66</Paragraphs>
  <ScaleCrop>false</ScaleCrop>
  <Company>Author-it Software Corporation Ltd.</Company>
  <LinksUpToDate>false</LinksUpToDate>
  <CharactersWithSpaces>4323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HLTINF002 Process reusable medical devices and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2023-07-02T01:18:00Z</dcterms:created>
  <dcterms:modified xsi:type="dcterms:W3CDTF">2023-07-02T01:18:00Z</dcterms:modified>
</cp:coreProperties>
</file>