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C69" w:rsidP="002C7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HLTHPS010 Interpret and use information about nutrition and diet</w:t>
      </w:r>
      <w:r>
        <w:fldChar w:fldCharType="end"/>
      </w:r>
    </w:p>
    <w:p w:rsidR="002C7C69" w:rsidP="002C7C69">
      <w:pPr>
        <w:pStyle w:val="Version"/>
        <w:sectPr w:rsidSect="003F7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A81" w:rsidP="003F7A81">
      <w:pPr>
        <w:pStyle w:val="SuperHeading"/>
      </w:pPr>
      <w:r w:rsidRPr="003F7A81">
        <w:t>Assessment Requirements for HLTHPS010 Interpret and use information about nutrition and diet</w:t>
      </w:r>
    </w:p>
    <w:p w:rsidR="00000000" w:rsidRPr="003F7A81" w:rsidP="003F7A81">
      <w:pPr>
        <w:pStyle w:val="Heading1"/>
      </w:pPr>
      <w:bookmarkStart w:id="1" w:name="O_743684"/>
      <w:bookmarkEnd w:id="1"/>
      <w:r w:rsidRPr="003F7A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F7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A81" w:rsidP="003F7A81">
            <w:pPr>
              <w:pStyle w:val="BodyText"/>
            </w:pPr>
            <w:r w:rsidRPr="003F7A8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A81">
            <w:pPr>
              <w:pStyle w:val="BodyText"/>
              <w:rPr>
                <w:lang w:val="en-NZ"/>
              </w:rPr>
            </w:pPr>
            <w:r w:rsidRPr="003F7A81">
              <w:rPr>
                <w:rStyle w:val="SpecialBold"/>
              </w:rPr>
              <w:t>Comments</w:t>
            </w:r>
          </w:p>
        </w:tc>
      </w:tr>
      <w:tr w:rsidTr="003F7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A81">
            <w:pPr>
              <w:pStyle w:val="BodyText"/>
              <w:rPr>
                <w:lang w:val="en-NZ"/>
              </w:rPr>
            </w:pPr>
            <w:r w:rsidRPr="003F7A8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A81" w:rsidP="003F7A81">
            <w:pPr>
              <w:pStyle w:val="BodyText"/>
            </w:pPr>
            <w:r w:rsidRPr="003F7A81">
              <w:t xml:space="preserve">This version was released in </w:t>
            </w:r>
            <w:r w:rsidRPr="003F7A81">
              <w:rPr>
                <w:rStyle w:val="Emphasis"/>
              </w:rPr>
              <w:t>HLT Health Training Package release 2.0</w:t>
            </w:r>
            <w:r w:rsidRPr="003F7A81">
              <w:t xml:space="preserve"> and meets the requirements of the 2012 Standards for Training Packages.</w:t>
            </w:r>
          </w:p>
          <w:p w:rsidR="00000000" w:rsidRPr="003F7A81" w:rsidP="003F7A81">
            <w:pPr>
              <w:pStyle w:val="BodyText"/>
            </w:pPr>
            <w:r w:rsidRPr="003F7A81">
              <w:t>New unit.</w:t>
            </w:r>
          </w:p>
        </w:tc>
      </w:tr>
    </w:tbl>
    <w:p w:rsidR="002C7C69" w:rsidP="003F7A81">
      <w:pPr>
        <w:pStyle w:val="BodyText"/>
      </w:pPr>
    </w:p>
    <w:p w:rsidR="002C7C69" w:rsidP="003F7A81">
      <w:pPr>
        <w:pStyle w:val="BodyText"/>
      </w:pPr>
    </w:p>
    <w:p w:rsidR="00000000" w:rsidRPr="003F7A81" w:rsidP="003F7A81">
      <w:pPr>
        <w:pStyle w:val="Heading1"/>
      </w:pPr>
      <w:bookmarkStart w:id="2" w:name="O_743685"/>
      <w:bookmarkEnd w:id="2"/>
      <w:r w:rsidRPr="003F7A81">
        <w:t>Performance Evidence</w:t>
      </w:r>
    </w:p>
    <w:p w:rsidR="00000000" w:rsidRPr="003F7A81" w:rsidP="002C7C69">
      <w:pPr>
        <w:pStyle w:val="BodyText"/>
      </w:pPr>
      <w:r w:rsidRPr="003F7A81">
        <w:t>The candidate must show evidence of the ability to complete tasks outlined in elements and performance criteria of this unit, manage</w:t>
      </w:r>
      <w:r w:rsidRPr="003F7A81">
        <w:t xml:space="preserve"> tasks and manage contingencies in the context of the job role. There must be evidence that the candidate has:</w:t>
      </w:r>
    </w:p>
    <w:p w:rsidR="00000000" w:rsidRPr="003F7A81" w:rsidP="003F7A81">
      <w:pPr>
        <w:pStyle w:val="ListBullet"/>
      </w:pPr>
      <w:r w:rsidRPr="003F7A81">
        <w:t xml:space="preserve">used critical thinking skills to review and distil information about nutrition and diet </w:t>
      </w:r>
    </w:p>
    <w:p w:rsidR="00000000" w:rsidRPr="003F7A81" w:rsidP="003F7A81">
      <w:pPr>
        <w:pStyle w:val="ListBullet"/>
      </w:pPr>
      <w:r w:rsidRPr="003F7A81">
        <w:t xml:space="preserve">used information about nutrition and diet within the scope of own job role in the provision of services to at least 3 different people </w:t>
      </w:r>
    </w:p>
    <w:p w:rsidR="00000000" w:rsidRPr="003F7A81" w:rsidP="003F7A81">
      <w:pPr>
        <w:pStyle w:val="AllowPageBreak"/>
      </w:pPr>
    </w:p>
    <w:p w:rsidR="00000000" w:rsidRPr="003F7A81" w:rsidP="003F7A81">
      <w:pPr>
        <w:pStyle w:val="Heading1"/>
      </w:pPr>
      <w:bookmarkStart w:id="3" w:name="O_743686"/>
      <w:bookmarkEnd w:id="3"/>
      <w:r w:rsidRPr="003F7A81">
        <w:t>Knowledge Evidence</w:t>
      </w:r>
    </w:p>
    <w:p w:rsidR="00000000" w:rsidRPr="003F7A81" w:rsidP="002C7C69">
      <w:pPr>
        <w:pStyle w:val="BodyText"/>
      </w:pPr>
      <w:r w:rsidRPr="003F7A81">
        <w:t>The candidate must be able to demonstrate essential knowledge required to effectivel</w:t>
      </w:r>
      <w:r w:rsidRPr="003F7A81">
        <w:t>y complete tasks outlined in elements and performance criteria of this unit, manage tasks and manage contingencies in the context of the work role. This includes knowledge of:</w:t>
      </w:r>
    </w:p>
    <w:p w:rsidR="00000000" w:rsidRPr="003F7A81" w:rsidP="003F7A81">
      <w:pPr>
        <w:pStyle w:val="ListBullet"/>
      </w:pPr>
      <w:r w:rsidRPr="003F7A81">
        <w:t xml:space="preserve">legal and ethical requirements in relation to the provision of nutritional and </w:t>
      </w:r>
      <w:r w:rsidRPr="003F7A81">
        <w:t>diet information to clients:</w:t>
      </w:r>
    </w:p>
    <w:p w:rsidR="00000000" w:rsidRPr="003F7A81" w:rsidP="003F7A81">
      <w:pPr>
        <w:pStyle w:val="ListBullet2"/>
      </w:pPr>
      <w:r w:rsidRPr="003F7A81">
        <w:t>roles, responsibilities and limitations of different people</w:t>
      </w:r>
    </w:p>
    <w:p w:rsidR="00000000" w:rsidRPr="003F7A81" w:rsidP="003F7A81">
      <w:pPr>
        <w:pStyle w:val="ListBullet2"/>
      </w:pPr>
      <w:r w:rsidRPr="003F7A81">
        <w:t>conflicts of interest and ethical considerations</w:t>
      </w:r>
    </w:p>
    <w:p w:rsidR="00000000" w:rsidRPr="003F7A81" w:rsidP="003F7A81">
      <w:pPr>
        <w:pStyle w:val="ListBullet"/>
      </w:pPr>
      <w:r w:rsidRPr="003F7A81">
        <w:t>source of information about nutrition and diet and ways to assess their credibility</w:t>
      </w:r>
    </w:p>
    <w:p w:rsidR="00000000" w:rsidRPr="003F7A81" w:rsidP="003F7A81">
      <w:pPr>
        <w:pStyle w:val="ListBullet"/>
      </w:pPr>
      <w:r w:rsidRPr="003F7A81">
        <w:t>established evidence-based sourc</w:t>
      </w:r>
      <w:r w:rsidRPr="003F7A81">
        <w:t>es of information about nutrition and diet</w:t>
      </w:r>
    </w:p>
    <w:p w:rsidR="00000000" w:rsidRPr="003F7A81" w:rsidP="003F7A81">
      <w:pPr>
        <w:pStyle w:val="ListBullet"/>
      </w:pPr>
      <w:r w:rsidRPr="003F7A81">
        <w:t>anatomy and physiology relating to diet, including:</w:t>
      </w:r>
    </w:p>
    <w:p w:rsidR="00000000" w:rsidRPr="003F7A81" w:rsidP="003F7A81">
      <w:pPr>
        <w:pStyle w:val="ListBullet2"/>
      </w:pPr>
      <w:r w:rsidRPr="003F7A81">
        <w:t>structure of the digestive system</w:t>
      </w:r>
    </w:p>
    <w:p w:rsidR="00000000" w:rsidRPr="003F7A81" w:rsidP="003F7A81">
      <w:pPr>
        <w:pStyle w:val="ListBullet2"/>
      </w:pPr>
      <w:r w:rsidRPr="003F7A81">
        <w:t>role of metabolism</w:t>
      </w:r>
    </w:p>
    <w:p w:rsidR="00000000" w:rsidRPr="003F7A81" w:rsidP="003F7A81">
      <w:pPr>
        <w:pStyle w:val="ListBullet2"/>
      </w:pPr>
      <w:r w:rsidRPr="003F7A81">
        <w:t>digestive processes and activities, including:</w:t>
      </w:r>
    </w:p>
    <w:p w:rsidR="00000000" w:rsidRPr="003F7A81" w:rsidP="003F7A81">
      <w:pPr>
        <w:pStyle w:val="ListBullet3"/>
      </w:pPr>
      <w:r w:rsidRPr="003F7A81">
        <w:t>ingestion</w:t>
      </w:r>
    </w:p>
    <w:p w:rsidR="00000000" w:rsidRPr="003F7A81" w:rsidP="003F7A81">
      <w:pPr>
        <w:pStyle w:val="ListBullet3"/>
      </w:pPr>
      <w:r w:rsidRPr="003F7A81">
        <w:t>mechanical digestion</w:t>
      </w:r>
    </w:p>
    <w:p w:rsidR="00000000" w:rsidRPr="003F7A81" w:rsidP="003F7A81">
      <w:pPr>
        <w:pStyle w:val="ListBullet3"/>
      </w:pPr>
      <w:r w:rsidRPr="003F7A81">
        <w:t>propulsion</w:t>
      </w:r>
    </w:p>
    <w:p w:rsidR="00000000" w:rsidRPr="003F7A81" w:rsidP="003F7A81">
      <w:pPr>
        <w:pStyle w:val="ListBullet3"/>
      </w:pPr>
      <w:r w:rsidRPr="003F7A81">
        <w:t>chemical digestion</w:t>
      </w:r>
    </w:p>
    <w:p w:rsidR="00000000" w:rsidRPr="003F7A81" w:rsidP="003F7A81">
      <w:pPr>
        <w:pStyle w:val="ListBullet3"/>
      </w:pPr>
      <w:r w:rsidRPr="003F7A81">
        <w:t>absorption</w:t>
      </w:r>
    </w:p>
    <w:p w:rsidR="00000000" w:rsidRPr="003F7A81" w:rsidP="003F7A81">
      <w:pPr>
        <w:pStyle w:val="ListBullet3"/>
      </w:pPr>
      <w:r w:rsidRPr="003F7A81">
        <w:t>defecation</w:t>
      </w:r>
    </w:p>
    <w:p w:rsidR="00000000" w:rsidRPr="003F7A81" w:rsidP="003F7A81">
      <w:pPr>
        <w:pStyle w:val="ListBullet"/>
      </w:pPr>
      <w:r w:rsidRPr="003F7A81">
        <w:t xml:space="preserve">primary components of </w:t>
      </w:r>
      <w:r w:rsidRPr="003F7A81">
        <w:rPr>
          <w:rStyle w:val="Emphasis"/>
        </w:rPr>
        <w:t>Australian dietary guidelines,</w:t>
      </w:r>
      <w:r w:rsidRPr="003F7A81">
        <w:t xml:space="preserve"> including those for older Australians, children and adolescents.</w:t>
      </w:r>
    </w:p>
    <w:p w:rsidR="00000000" w:rsidRPr="003F7A81" w:rsidP="003F7A81">
      <w:pPr>
        <w:pStyle w:val="ListBullet"/>
      </w:pPr>
      <w:r w:rsidRPr="003F7A81">
        <w:t xml:space="preserve">foods and their key features as described in the </w:t>
      </w:r>
      <w:r w:rsidRPr="003F7A81">
        <w:rPr>
          <w:rStyle w:val="Emphasis"/>
        </w:rPr>
        <w:t>Australian dietary guidelines</w:t>
      </w:r>
      <w:r w:rsidRPr="003F7A81">
        <w:t>, including diet r</w:t>
      </w:r>
      <w:r w:rsidRPr="003F7A81">
        <w:t xml:space="preserve">elated aspects of chronic disease: </w:t>
      </w:r>
    </w:p>
    <w:p w:rsidR="00000000" w:rsidRPr="003F7A81" w:rsidP="003F7A81">
      <w:pPr>
        <w:pStyle w:val="ListBullet2"/>
      </w:pPr>
      <w:r w:rsidRPr="003F7A81">
        <w:t>diabetes</w:t>
      </w:r>
    </w:p>
    <w:p w:rsidR="00000000" w:rsidRPr="003F7A81" w:rsidP="003F7A81">
      <w:pPr>
        <w:pStyle w:val="ListBullet2"/>
      </w:pPr>
      <w:r w:rsidRPr="003F7A81">
        <w:t>cardiovascular</w:t>
      </w:r>
    </w:p>
    <w:p w:rsidR="00000000" w:rsidRPr="003F7A81" w:rsidP="003F7A81">
      <w:pPr>
        <w:pStyle w:val="ListBullet2"/>
      </w:pPr>
      <w:r w:rsidRPr="003F7A81">
        <w:t>obesity/eating disorders</w:t>
      </w:r>
    </w:p>
    <w:p w:rsidR="00000000" w:rsidRPr="003F7A81" w:rsidP="003F7A81">
      <w:pPr>
        <w:pStyle w:val="ListBullet"/>
      </w:pPr>
      <w:r w:rsidRPr="003F7A81">
        <w:t>basic principles and practices of nutrition and healthy diet, including nutrients, their function, recommended dietary intake (RDI), toxicity and their food sources</w:t>
      </w:r>
    </w:p>
    <w:p w:rsidR="00000000" w:rsidRPr="003F7A81" w:rsidP="003F7A81">
      <w:pPr>
        <w:pStyle w:val="ListBullet"/>
      </w:pPr>
      <w:r w:rsidRPr="003F7A81">
        <w:t>benefits of antioxidants, and food groups that provide good sources</w:t>
      </w:r>
    </w:p>
    <w:p w:rsidR="00000000" w:rsidRPr="003F7A81" w:rsidP="003F7A81">
      <w:pPr>
        <w:pStyle w:val="ListBullet"/>
      </w:pPr>
      <w:r w:rsidRPr="003F7A81">
        <w:t>influences on food choices for individuals</w:t>
      </w:r>
    </w:p>
    <w:p w:rsidR="00000000" w:rsidRPr="003F7A81" w:rsidP="003F7A81">
      <w:pPr>
        <w:pStyle w:val="ListBullet"/>
      </w:pPr>
      <w:r w:rsidRPr="003F7A81">
        <w:t>food labelling and interpretation</w:t>
      </w:r>
    </w:p>
    <w:p w:rsidR="00000000" w:rsidRPr="003F7A81" w:rsidP="003F7A81">
      <w:pPr>
        <w:pStyle w:val="ListBullet"/>
      </w:pPr>
      <w:r w:rsidRPr="003F7A81">
        <w:t>role and implications of using food additives and preservatives</w:t>
      </w:r>
    </w:p>
    <w:p w:rsidR="00000000" w:rsidRPr="003F7A81" w:rsidP="003F7A81">
      <w:pPr>
        <w:pStyle w:val="ListBullet"/>
      </w:pPr>
      <w:r w:rsidRPr="003F7A81">
        <w:t>health implications of food choices</w:t>
      </w:r>
    </w:p>
    <w:p w:rsidR="00000000" w:rsidRPr="003F7A81" w:rsidP="003F7A81">
      <w:pPr>
        <w:pStyle w:val="ListBullet"/>
      </w:pPr>
      <w:r w:rsidRPr="003F7A81">
        <w:t>role of goo</w:t>
      </w:r>
      <w:r w:rsidRPr="003F7A81">
        <w:t>d nutrition in avoiding dietary diseases</w:t>
      </w:r>
    </w:p>
    <w:p w:rsidR="00000000" w:rsidRPr="003F7A81" w:rsidP="003F7A81">
      <w:pPr>
        <w:pStyle w:val="ListBullet"/>
      </w:pPr>
      <w:r w:rsidRPr="003F7A81">
        <w:t>effects of various processing and cooking methods and food storage on nutrients</w:t>
      </w:r>
    </w:p>
    <w:p w:rsidR="00000000" w:rsidRPr="003F7A81" w:rsidP="003F7A81">
      <w:pPr>
        <w:pStyle w:val="ListBullet"/>
      </w:pPr>
      <w:r w:rsidRPr="003F7A81">
        <w:t>commonly encountered food intolerances</w:t>
      </w:r>
    </w:p>
    <w:p w:rsidR="00000000" w:rsidRPr="003F7A81" w:rsidP="003F7A81">
      <w:pPr>
        <w:pStyle w:val="ListBullet"/>
      </w:pPr>
      <w:r w:rsidRPr="003F7A81">
        <w:t>main types and characteristics of special diets that are part of contemporary Australian society</w:t>
      </w:r>
      <w:r w:rsidRPr="003F7A81">
        <w:t>:</w:t>
      </w:r>
    </w:p>
    <w:p w:rsidR="00000000" w:rsidRPr="003F7A81" w:rsidP="003F7A81">
      <w:pPr>
        <w:pStyle w:val="ListBullet2"/>
      </w:pPr>
      <w:r w:rsidRPr="003F7A81">
        <w:t>diabetic</w:t>
      </w:r>
    </w:p>
    <w:p w:rsidR="00000000" w:rsidRPr="003F7A81" w:rsidP="003F7A81">
      <w:pPr>
        <w:pStyle w:val="ListBullet2"/>
      </w:pPr>
      <w:r w:rsidRPr="003F7A81">
        <w:t>coeliac/gluten free/low gluten</w:t>
      </w:r>
    </w:p>
    <w:p w:rsidR="00000000" w:rsidRPr="003F7A81" w:rsidP="003F7A81">
      <w:pPr>
        <w:pStyle w:val="ListBullet2"/>
      </w:pPr>
      <w:r w:rsidRPr="003F7A81">
        <w:t>low cholesterol</w:t>
      </w:r>
    </w:p>
    <w:p w:rsidR="00000000" w:rsidRPr="003F7A81" w:rsidP="003F7A81">
      <w:pPr>
        <w:pStyle w:val="ListBullet2"/>
      </w:pPr>
      <w:r w:rsidRPr="003F7A81">
        <w:t>low fat</w:t>
      </w:r>
    </w:p>
    <w:p w:rsidR="00000000" w:rsidRPr="003F7A81" w:rsidP="003F7A81">
      <w:pPr>
        <w:pStyle w:val="ListBullet2"/>
      </w:pPr>
      <w:r w:rsidRPr="003F7A81">
        <w:t>sugar free</w:t>
      </w:r>
    </w:p>
    <w:p w:rsidR="00000000" w:rsidRPr="003F7A81" w:rsidP="003F7A81">
      <w:pPr>
        <w:pStyle w:val="ListBullet2"/>
      </w:pPr>
      <w:r w:rsidRPr="003F7A81">
        <w:t>vegetarian</w:t>
      </w:r>
    </w:p>
    <w:p w:rsidR="00000000" w:rsidRPr="003F7A81" w:rsidP="003F7A81">
      <w:pPr>
        <w:pStyle w:val="ListBullet2"/>
      </w:pPr>
      <w:r w:rsidRPr="003F7A81">
        <w:t>vegan</w:t>
      </w:r>
    </w:p>
    <w:p w:rsidR="00000000" w:rsidRPr="003F7A81" w:rsidP="003F7A81">
      <w:pPr>
        <w:pStyle w:val="ListBullet2"/>
      </w:pPr>
      <w:r w:rsidRPr="003F7A81">
        <w:t>diets specific to different cultures and religions</w:t>
      </w:r>
    </w:p>
    <w:p w:rsidR="00000000" w:rsidRPr="003F7A81" w:rsidP="003F7A81">
      <w:pPr>
        <w:pStyle w:val="ListBullet"/>
      </w:pPr>
      <w:r w:rsidRPr="003F7A81">
        <w:t>the meaning of:</w:t>
      </w:r>
    </w:p>
    <w:p w:rsidR="00000000" w:rsidRPr="003F7A81" w:rsidP="003F7A81">
      <w:pPr>
        <w:pStyle w:val="ListBullet2"/>
      </w:pPr>
      <w:r w:rsidRPr="003F7A81">
        <w:t>drug–food interactions</w:t>
      </w:r>
    </w:p>
    <w:p w:rsidR="00000000" w:rsidRPr="003F7A81" w:rsidP="003F7A81">
      <w:pPr>
        <w:pStyle w:val="ListBullet2"/>
      </w:pPr>
      <w:r w:rsidRPr="003F7A81">
        <w:t>food allergy</w:t>
      </w:r>
    </w:p>
    <w:p w:rsidR="00000000" w:rsidRPr="003F7A81" w:rsidP="003F7A81">
      <w:pPr>
        <w:pStyle w:val="ListBullet2"/>
      </w:pPr>
      <w:r w:rsidRPr="003F7A81">
        <w:t>food intolerance</w:t>
      </w:r>
    </w:p>
    <w:p w:rsidR="00000000" w:rsidRPr="003F7A81" w:rsidP="003F7A81">
      <w:pPr>
        <w:pStyle w:val="ListBullet2"/>
      </w:pPr>
      <w:r w:rsidRPr="003F7A81">
        <w:t>alkaline and acidity charts</w:t>
      </w:r>
    </w:p>
    <w:p w:rsidR="00000000" w:rsidRPr="003F7A81" w:rsidP="003F7A81">
      <w:pPr>
        <w:pStyle w:val="ListBullet"/>
      </w:pPr>
      <w:r w:rsidRPr="003F7A81">
        <w:t>indicators of need for referral to specialist advice</w:t>
      </w:r>
    </w:p>
    <w:p w:rsidR="00000000" w:rsidRPr="003F7A81" w:rsidP="003F7A81">
      <w:pPr>
        <w:pStyle w:val="AllowPageBreak"/>
      </w:pPr>
    </w:p>
    <w:p w:rsidR="00000000" w:rsidRPr="003F7A81" w:rsidP="003F7A81">
      <w:pPr>
        <w:pStyle w:val="Heading1"/>
      </w:pPr>
      <w:bookmarkStart w:id="4" w:name="O_743687"/>
      <w:bookmarkEnd w:id="4"/>
      <w:r w:rsidRPr="003F7A81">
        <w:t>Assessment Conditions</w:t>
      </w:r>
    </w:p>
    <w:p w:rsidR="00000000" w:rsidRPr="003F7A81" w:rsidP="002C7C69">
      <w:pPr>
        <w:pStyle w:val="BodyText"/>
      </w:pPr>
      <w:r w:rsidRPr="003F7A81">
        <w:t>Skills must have been demonstrated in the workplace or in a simulated environment that reflects workplace conditions. Where simulation is used, it must reflect real</w:t>
      </w:r>
      <w:r w:rsidRPr="003F7A81">
        <w:t xml:space="preserve"> working conditions by modelling industry operating conditions and contingencies, as well as using suitable facilities, equipment and resources.</w:t>
      </w:r>
    </w:p>
    <w:p w:rsidR="00000000" w:rsidRPr="003F7A81" w:rsidP="002C7C69">
      <w:pPr>
        <w:pStyle w:val="BodyText"/>
      </w:pPr>
      <w:r w:rsidRPr="003F7A81">
        <w:t>Assessors must satisfy the Standards for Registered Training Organisations (RTOs) 2015/AQTF mandatory competency requirements for assessors.</w:t>
      </w:r>
    </w:p>
    <w:p w:rsidR="00000000" w:rsidRPr="003F7A81" w:rsidP="003F7A81">
      <w:pPr>
        <w:pStyle w:val="Heading1"/>
      </w:pPr>
      <w:bookmarkStart w:id="5" w:name="O_743690"/>
      <w:bookmarkEnd w:id="5"/>
      <w:r w:rsidRPr="003F7A81">
        <w:t>Links</w:t>
      </w:r>
    </w:p>
    <w:p w:rsidR="00000000" w:rsidRPr="003F7A81" w:rsidP="002C7C69">
      <w:pPr>
        <w:pStyle w:val="BodyText"/>
      </w:pPr>
      <w:r w:rsidRPr="003F7A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00ED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F7A81" w:rsidP="003F7A81"/>
    <w:sectPr w:rsidSect="003F7A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A81" w:rsidRPr="002C7C69" w:rsidP="002C7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9" w:rsidP="003F7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7C69" w:rsidP="003F7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7C69" w:rsidP="003F7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A81" w:rsidRPr="002C7C69" w:rsidP="002C7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9" w:rsidRPr="002D2AF8" w:rsidP="003F7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HLTHPS010 Interpret and use information about nutrition and diet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C7C69" w:rsidP="003F7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64E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027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80E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A81"/>
  </w:style>
  <w:style w:type="character" w:customStyle="1" w:styleId="Heading1Char">
    <w:name w:val="Heading 1 Char"/>
    <w:basedOn w:val="DefaultParagraphFont"/>
    <w:link w:val="Heading1"/>
    <w:rsid w:val="003F7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A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A81"/>
    <w:rPr>
      <w:b/>
      <w:spacing w:val="0"/>
    </w:rPr>
  </w:style>
  <w:style w:type="paragraph" w:styleId="ListBullet2">
    <w:name w:val="List Bullet 2"/>
    <w:basedOn w:val="List2"/>
    <w:rsid w:val="003F7A8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7A81"/>
    <w:rPr>
      <w:i/>
    </w:rPr>
  </w:style>
  <w:style w:type="paragraph" w:customStyle="1" w:styleId="SuperHeading">
    <w:name w:val="SuperHeading"/>
    <w:basedOn w:val="Normal"/>
    <w:rsid w:val="003F7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7A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7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7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A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7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A81"/>
  </w:style>
  <w:style w:type="paragraph" w:styleId="TableofFigures">
    <w:name w:val="table of figures"/>
    <w:basedOn w:val="Normal"/>
    <w:next w:val="Normal"/>
    <w:semiHidden/>
    <w:rsid w:val="003F7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A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7A81"/>
    <w:rPr>
      <w:rFonts w:ascii="Wingdings" w:hAnsi="Wingdings"/>
    </w:rPr>
  </w:style>
  <w:style w:type="paragraph" w:customStyle="1" w:styleId="TableHeading">
    <w:name w:val="Table Heading"/>
    <w:basedOn w:val="HeadingBase"/>
    <w:rsid w:val="003F7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A81"/>
    <w:rPr>
      <w:color w:val="0033CC"/>
      <w:u w:val="none"/>
    </w:rPr>
  </w:style>
  <w:style w:type="paragraph" w:customStyle="1" w:styleId="BodyTextRight">
    <w:name w:val="Body Text Right"/>
    <w:basedOn w:val="BodyText"/>
    <w:rsid w:val="003F7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A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A81"/>
    <w:rPr>
      <w:sz w:val="32"/>
    </w:rPr>
  </w:style>
  <w:style w:type="paragraph" w:customStyle="1" w:styleId="HeadingProcedure">
    <w:name w:val="Heading Procedure"/>
    <w:basedOn w:val="HeadingBase"/>
    <w:next w:val="Normal"/>
    <w:rsid w:val="003F7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A81"/>
    <w:pPr>
      <w:spacing w:before="60" w:after="60"/>
    </w:pPr>
  </w:style>
  <w:style w:type="paragraph" w:styleId="ListContinue">
    <w:name w:val="List Continue"/>
    <w:basedOn w:val="List"/>
    <w:rsid w:val="003F7A81"/>
    <w:pPr>
      <w:ind w:firstLine="0"/>
    </w:pPr>
  </w:style>
  <w:style w:type="paragraph" w:customStyle="1" w:styleId="ListNote">
    <w:name w:val="List Note"/>
    <w:basedOn w:val="List"/>
    <w:rsid w:val="003F7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A81"/>
    <w:rPr>
      <w:rFonts w:ascii="Courier New" w:hAnsi="Courier New"/>
    </w:rPr>
  </w:style>
  <w:style w:type="paragraph" w:customStyle="1" w:styleId="NoteBullet">
    <w:name w:val="Note Bullet"/>
    <w:basedOn w:val="Note"/>
    <w:rsid w:val="003F7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A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7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A81"/>
    <w:rPr>
      <w:b/>
      <w:smallCaps/>
    </w:rPr>
  </w:style>
  <w:style w:type="paragraph" w:customStyle="1" w:styleId="TableListNumber">
    <w:name w:val="Table List Number"/>
    <w:basedOn w:val="ListNumber"/>
    <w:rsid w:val="003F7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A81"/>
    <w:pPr>
      <w:numPr>
        <w:numId w:val="10"/>
      </w:numPr>
    </w:pPr>
  </w:style>
  <w:style w:type="paragraph" w:customStyle="1" w:styleId="ListAlpha2">
    <w:name w:val="List Alpha 2"/>
    <w:basedOn w:val="List2"/>
    <w:rsid w:val="003F7A81"/>
    <w:pPr>
      <w:numPr>
        <w:numId w:val="9"/>
      </w:numPr>
    </w:pPr>
  </w:style>
  <w:style w:type="paragraph" w:styleId="List2">
    <w:name w:val="List 2"/>
    <w:basedOn w:val="BodyText"/>
    <w:rsid w:val="003F7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A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7A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7A81"/>
    <w:pPr>
      <w:numPr>
        <w:numId w:val="5"/>
      </w:numPr>
    </w:pPr>
  </w:style>
  <w:style w:type="paragraph" w:styleId="ListContinue2">
    <w:name w:val="List Continue 2"/>
    <w:basedOn w:val="List2"/>
    <w:rsid w:val="003F7A81"/>
    <w:pPr>
      <w:ind w:firstLine="0"/>
    </w:pPr>
  </w:style>
  <w:style w:type="paragraph" w:styleId="ListContinue3">
    <w:name w:val="List Continue 3"/>
    <w:basedOn w:val="List3"/>
    <w:rsid w:val="003F7A81"/>
    <w:pPr>
      <w:ind w:left="1021" w:firstLine="0"/>
    </w:pPr>
  </w:style>
  <w:style w:type="paragraph" w:styleId="ListContinue4">
    <w:name w:val="List Continue 4"/>
    <w:basedOn w:val="List4"/>
    <w:rsid w:val="003F7A81"/>
    <w:pPr>
      <w:ind w:firstLine="0"/>
    </w:pPr>
  </w:style>
  <w:style w:type="paragraph" w:styleId="ListContinue5">
    <w:name w:val="List Continue 5"/>
    <w:basedOn w:val="List5"/>
    <w:rsid w:val="003F7A81"/>
    <w:pPr>
      <w:ind w:firstLine="0"/>
    </w:pPr>
  </w:style>
  <w:style w:type="paragraph" w:styleId="ListNumber3">
    <w:name w:val="List Number 3"/>
    <w:basedOn w:val="List3"/>
    <w:rsid w:val="003F7A81"/>
    <w:pPr>
      <w:numPr>
        <w:numId w:val="6"/>
      </w:numPr>
    </w:pPr>
  </w:style>
  <w:style w:type="paragraph" w:styleId="ListNumber4">
    <w:name w:val="List Number 4"/>
    <w:basedOn w:val="List4"/>
    <w:rsid w:val="003F7A81"/>
    <w:pPr>
      <w:numPr>
        <w:numId w:val="7"/>
      </w:numPr>
    </w:pPr>
  </w:style>
  <w:style w:type="paragraph" w:styleId="ListNumber5">
    <w:name w:val="List Number 5"/>
    <w:basedOn w:val="List5"/>
    <w:rsid w:val="003F7A81"/>
    <w:pPr>
      <w:numPr>
        <w:numId w:val="8"/>
      </w:numPr>
    </w:pPr>
  </w:style>
  <w:style w:type="paragraph" w:styleId="BlockText">
    <w:name w:val="Block Text"/>
    <w:basedOn w:val="Normal"/>
    <w:rsid w:val="003F7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A81"/>
    <w:rPr>
      <w:sz w:val="16"/>
      <w:vertAlign w:val="superscript"/>
    </w:rPr>
  </w:style>
  <w:style w:type="character" w:customStyle="1" w:styleId="Symbols">
    <w:name w:val="Symbols"/>
    <w:basedOn w:val="DefaultParagraphFont"/>
    <w:rsid w:val="003F7A81"/>
    <w:rPr>
      <w:rFonts w:ascii="Symbol" w:hAnsi="Symbol"/>
    </w:rPr>
  </w:style>
  <w:style w:type="character" w:customStyle="1" w:styleId="MenuOptions">
    <w:name w:val="Menu Options"/>
    <w:basedOn w:val="DefaultParagraphFont"/>
    <w:rsid w:val="003F7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A81"/>
    <w:rPr>
      <w:b/>
    </w:rPr>
  </w:style>
  <w:style w:type="character" w:customStyle="1" w:styleId="Underlined">
    <w:name w:val="Underlined"/>
    <w:basedOn w:val="DefaultParagraphFont"/>
    <w:rsid w:val="003F7A81"/>
    <w:rPr>
      <w:u w:val="single"/>
    </w:rPr>
  </w:style>
  <w:style w:type="paragraph" w:customStyle="1" w:styleId="TableBodyTextRight">
    <w:name w:val="Table Body Text Right"/>
    <w:basedOn w:val="TableBodyText"/>
    <w:rsid w:val="003F7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A81"/>
    <w:rPr>
      <w:sz w:val="18"/>
    </w:rPr>
  </w:style>
  <w:style w:type="paragraph" w:customStyle="1" w:styleId="BodySmallRight">
    <w:name w:val="Body Small Right"/>
    <w:basedOn w:val="BodyTextRight"/>
    <w:rsid w:val="003F7A81"/>
    <w:rPr>
      <w:sz w:val="18"/>
      <w:szCs w:val="18"/>
    </w:rPr>
  </w:style>
  <w:style w:type="paragraph" w:customStyle="1" w:styleId="MarginEdition">
    <w:name w:val="Margin Edition"/>
    <w:basedOn w:val="MarginNote"/>
    <w:rsid w:val="003F7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A81"/>
    <w:rPr>
      <w:sz w:val="2"/>
      <w:szCs w:val="2"/>
    </w:rPr>
  </w:style>
  <w:style w:type="character" w:customStyle="1" w:styleId="Small">
    <w:name w:val="Small"/>
    <w:basedOn w:val="DefaultParagraphFont"/>
    <w:rsid w:val="003F7A81"/>
    <w:rPr>
      <w:sz w:val="16"/>
    </w:rPr>
  </w:style>
  <w:style w:type="paragraph" w:customStyle="1" w:styleId="WideTable">
    <w:name w:val="Wide Table"/>
    <w:basedOn w:val="Normal"/>
    <w:rsid w:val="003F7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A81"/>
  </w:style>
  <w:style w:type="paragraph" w:styleId="Quote">
    <w:name w:val="Quote"/>
    <w:basedOn w:val="Heading1"/>
    <w:link w:val="QuoteChar"/>
    <w:qFormat/>
    <w:rsid w:val="003F7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A81"/>
    <w:pPr>
      <w:pageBreakBefore/>
    </w:pPr>
  </w:style>
  <w:style w:type="paragraph" w:customStyle="1" w:styleId="Border">
    <w:name w:val="Border"/>
    <w:basedOn w:val="Normal"/>
    <w:qFormat/>
    <w:rsid w:val="003F7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A81"/>
    <w:rPr>
      <w:u w:val="single"/>
    </w:rPr>
  </w:style>
  <w:style w:type="character" w:customStyle="1" w:styleId="BoldandItalics">
    <w:name w:val="Bold and Italics"/>
    <w:qFormat/>
    <w:rsid w:val="003F7A81"/>
    <w:rPr>
      <w:b/>
      <w:i/>
      <w:u w:val="none"/>
    </w:rPr>
  </w:style>
  <w:style w:type="paragraph" w:styleId="BalloonText">
    <w:name w:val="Balloon Text"/>
    <w:basedOn w:val="Normal"/>
    <w:link w:val="BalloonTextChar"/>
    <w:rsid w:val="003F7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A81"/>
    <w:pPr>
      <w:spacing w:before="0" w:after="0"/>
    </w:pPr>
  </w:style>
  <w:style w:type="paragraph" w:customStyle="1" w:styleId="BodyTextBold">
    <w:name w:val="Body Text Bold"/>
    <w:basedOn w:val="BodyText"/>
    <w:qFormat/>
    <w:rsid w:val="003F7A81"/>
    <w:rPr>
      <w:b/>
    </w:rPr>
  </w:style>
  <w:style w:type="character" w:styleId="Hyperlink">
    <w:name w:val="Hyperlink"/>
    <w:basedOn w:val="DefaultParagraphFont"/>
    <w:uiPriority w:val="99"/>
    <w:unhideWhenUsed/>
    <w:rsid w:val="002C7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3330</Characters>
  <Application>Microsoft Office Word</Application>
  <DocSecurity>0</DocSecurity>
  <Lines>97</Lines>
  <Paragraphs>75</Paragraphs>
  <ScaleCrop>false</ScaleCrop>
  <Company>Author-it Software Corporation Ltd.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HLTHPS010 Interpret and use information about nutrition and diet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2023-07-02T02:23:00Z</dcterms:created>
  <dcterms:modified xsi:type="dcterms:W3CDTF">2023-07-02T02:23:00Z</dcterms:modified>
</cp:coreProperties>
</file>