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B50" w:rsidP="00523B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HLTHPS009 Perform peripheral intravenous cannulation</w:t>
      </w:r>
      <w:r>
        <w:fldChar w:fldCharType="end"/>
      </w:r>
    </w:p>
    <w:p w:rsidR="00523B50" w:rsidP="00523B50">
      <w:pPr>
        <w:pStyle w:val="Version"/>
        <w:sectPr w:rsidSect="005A54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4D6" w:rsidP="005A54D6">
      <w:pPr>
        <w:pStyle w:val="SuperHeading"/>
      </w:pPr>
      <w:r w:rsidRPr="005A54D6">
        <w:t>HLTHPS009 Perform peripheral intravenous cannulation</w:t>
      </w:r>
    </w:p>
    <w:p w:rsidR="00000000" w:rsidRPr="005A54D6" w:rsidP="005A54D6">
      <w:pPr>
        <w:pStyle w:val="Heading1"/>
      </w:pPr>
      <w:bookmarkStart w:id="1" w:name="O_743655"/>
      <w:bookmarkEnd w:id="1"/>
      <w:r w:rsidRPr="005A54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A5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D6" w:rsidP="005A54D6">
            <w:pPr>
              <w:pStyle w:val="BodyText"/>
            </w:pPr>
            <w:r w:rsidRPr="005A54D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D6">
            <w:pPr>
              <w:pStyle w:val="BodyText"/>
              <w:rPr>
                <w:lang w:val="en-NZ"/>
              </w:rPr>
            </w:pPr>
            <w:r w:rsidRPr="005A54D6">
              <w:rPr>
                <w:rStyle w:val="SpecialBold"/>
              </w:rPr>
              <w:t>Comments</w:t>
            </w:r>
          </w:p>
        </w:tc>
      </w:tr>
      <w:tr w:rsidTr="005A5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D6">
            <w:pPr>
              <w:pStyle w:val="BodyText"/>
              <w:rPr>
                <w:lang w:val="en-NZ"/>
              </w:rPr>
            </w:pPr>
            <w:r w:rsidRPr="005A54D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D6" w:rsidP="005A54D6">
            <w:pPr>
              <w:pStyle w:val="BodyText"/>
            </w:pPr>
            <w:r w:rsidRPr="005A54D6">
              <w:t xml:space="preserve">This version was released in </w:t>
            </w:r>
            <w:r w:rsidRPr="005A54D6">
              <w:rPr>
                <w:rStyle w:val="Emphasis"/>
              </w:rPr>
              <w:t>HLT Health Training Package release 2.0</w:t>
            </w:r>
            <w:r w:rsidRPr="005A54D6">
              <w:t xml:space="preserve"> and meets the requirements of the 2012 Standards for Training Packages.</w:t>
            </w:r>
          </w:p>
          <w:p w:rsidR="00000000" w:rsidRPr="005A54D6" w:rsidP="005A54D6">
            <w:pPr>
              <w:pStyle w:val="BodyText"/>
            </w:pPr>
            <w:r w:rsidRPr="005A54D6">
              <w:t>Significant changes to the elements and performance crite</w:t>
            </w:r>
            <w:r w:rsidRPr="005A54D6">
              <w:t>ria. New evidence requirements for assessment including volume and frequency requirements.</w:t>
            </w:r>
          </w:p>
        </w:tc>
      </w:tr>
    </w:tbl>
    <w:p w:rsidR="00523B50" w:rsidP="005A54D6">
      <w:pPr>
        <w:pStyle w:val="BodyText"/>
      </w:pPr>
    </w:p>
    <w:p w:rsidR="00523B50" w:rsidP="005A54D6">
      <w:pPr>
        <w:pStyle w:val="BodyText"/>
      </w:pPr>
    </w:p>
    <w:p w:rsidR="00000000" w:rsidRPr="005A54D6" w:rsidP="005A54D6">
      <w:pPr>
        <w:pStyle w:val="Heading1"/>
      </w:pPr>
      <w:bookmarkStart w:id="2" w:name="O_743656"/>
      <w:bookmarkEnd w:id="2"/>
      <w:r w:rsidRPr="005A54D6">
        <w:t>Application</w:t>
      </w:r>
    </w:p>
    <w:p w:rsidR="00000000" w:rsidRPr="005A54D6" w:rsidP="00523B50">
      <w:pPr>
        <w:pStyle w:val="BodyText"/>
      </w:pPr>
      <w:r w:rsidRPr="005A54D6">
        <w:t xml:space="preserve">This unit describes the skills and knowledge required to perform peripheral intravenous cannulation on clients. </w:t>
      </w:r>
    </w:p>
    <w:p w:rsidR="00000000" w:rsidRPr="005A54D6" w:rsidP="00523B50">
      <w:pPr>
        <w:pStyle w:val="BodyText"/>
      </w:pPr>
      <w:r w:rsidRPr="005A54D6">
        <w:t>This unit applies t</w:t>
      </w:r>
      <w:r w:rsidRPr="005A54D6">
        <w:t>o registered enrolled nurses, registered Aboriginal and/or Torres Strait Islander health practitioners and emergency workers for whom peripheral intravenous cannulation is part of the job role. They may be working in hospitals, primary health care in rural</w:t>
      </w:r>
      <w:r w:rsidRPr="005A54D6">
        <w:t xml:space="preserve"> remote locations, pathology services, out-of-hospital settings or in other allied health care environments.</w:t>
      </w:r>
    </w:p>
    <w:p w:rsidR="00000000" w:rsidRPr="005A54D6" w:rsidP="00523B50">
      <w:pPr>
        <w:pStyle w:val="BodyText"/>
      </w:pPr>
      <w:r w:rsidRPr="005A54D6">
        <w:t>The extent of the practitioner’s role for peripheral intravenous cannulation may be subject to state/territory legislation and organisation policy</w:t>
      </w:r>
      <w:r w:rsidRPr="005A54D6">
        <w:t>, and competency should be demonstrated within the context of applicable legislation and organisation practice.</w:t>
      </w:r>
    </w:p>
    <w:p w:rsidR="00000000" w:rsidRPr="00523B50" w:rsidP="00523B50">
      <w:pPr>
        <w:pStyle w:val="BodyText"/>
        <w:rPr>
          <w:i/>
        </w:rPr>
      </w:pPr>
      <w:r w:rsidRPr="00523B50">
        <w:rPr>
          <w:rStyle w:val="Emphasis"/>
        </w:rPr>
        <w:t>The skills in this unit must be applied in accordance with Commonwealth and State/Territory legislation, Australian/New Zealand standards and i</w:t>
      </w:r>
      <w:r w:rsidRPr="00523B50">
        <w:rPr>
          <w:rStyle w:val="Emphasis"/>
        </w:rPr>
        <w:t>ndustry codes of practice.</w:t>
      </w:r>
    </w:p>
    <w:p w:rsidR="00000000" w:rsidRPr="005A54D6" w:rsidP="005A54D6">
      <w:pPr>
        <w:pStyle w:val="Heading1"/>
      </w:pPr>
      <w:bookmarkStart w:id="3" w:name="O_743660"/>
      <w:bookmarkEnd w:id="3"/>
      <w:r w:rsidRPr="005A54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670"/>
      </w:tblGrid>
      <w:tr w:rsidTr="005A5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D6" w:rsidP="005A54D6">
            <w:pPr>
              <w:pStyle w:val="BodyText"/>
            </w:pPr>
            <w:r w:rsidRPr="005A54D6">
              <w:rPr>
                <w:rStyle w:val="SpecialBold"/>
              </w:rPr>
              <w:t>ELEMENT</w:t>
            </w:r>
          </w:p>
          <w:p w:rsidR="00000000" w:rsidRPr="005A54D6" w:rsidP="005A54D6">
            <w:pPr>
              <w:pStyle w:val="BodyText"/>
            </w:pPr>
            <w:r w:rsidRPr="005A54D6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D6" w:rsidP="005A54D6">
            <w:pPr>
              <w:pStyle w:val="BodyText"/>
            </w:pPr>
            <w:r w:rsidRPr="005A54D6">
              <w:rPr>
                <w:rStyle w:val="SpecialBold"/>
              </w:rPr>
              <w:t>PERFORMANCE CRITERIA</w:t>
            </w:r>
          </w:p>
          <w:p w:rsidR="00000000" w:rsidRPr="005A54D6" w:rsidP="005A54D6">
            <w:pPr>
              <w:pStyle w:val="BodyText"/>
            </w:pPr>
            <w:r w:rsidRPr="005A54D6">
              <w:rPr>
                <w:rStyle w:val="Emphasis"/>
              </w:rPr>
              <w:t>Performance criteria describe the performance needed to demonstrate achievement of the element</w:t>
            </w:r>
          </w:p>
          <w:p w:rsidR="00000000" w:rsidP="005A54D6">
            <w:pPr>
              <w:pStyle w:val="BodyText"/>
              <w:rPr>
                <w:lang w:val="en-NZ"/>
              </w:rPr>
            </w:pPr>
          </w:p>
        </w:tc>
      </w:tr>
      <w:tr w:rsidTr="005A5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D6">
            <w:pPr>
              <w:pStyle w:val="BodyText"/>
              <w:rPr>
                <w:lang w:val="en-NZ"/>
              </w:rPr>
            </w:pPr>
            <w:r w:rsidRPr="005A54D6">
              <w:t xml:space="preserve">1. Prepare for peripheral intravenous cannulation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D6" w:rsidP="005A54D6">
            <w:pPr>
              <w:pStyle w:val="BodyText"/>
            </w:pPr>
            <w:r w:rsidRPr="005A54D6">
              <w:t xml:space="preserve">1.1 Correctly identify client and authorised request/s for peripheral intravenous cannulation </w:t>
            </w:r>
          </w:p>
          <w:p w:rsidR="00000000" w:rsidRPr="005A54D6" w:rsidP="005A54D6">
            <w:pPr>
              <w:pStyle w:val="BodyText"/>
            </w:pPr>
            <w:r w:rsidRPr="005A54D6">
              <w:t xml:space="preserve">1.2 Explain procedure to client and obtain consent and check for allergies </w:t>
            </w:r>
          </w:p>
          <w:p w:rsidR="00000000" w:rsidRPr="005A54D6" w:rsidP="005A54D6">
            <w:pPr>
              <w:pStyle w:val="BodyText"/>
            </w:pPr>
            <w:r w:rsidRPr="005A54D6">
              <w:t>1.3 Identify any additional specif</w:t>
            </w:r>
            <w:r w:rsidRPr="005A54D6">
              <w:t xml:space="preserve">ic requests/tests relevant to the procedure before proceeding </w:t>
            </w:r>
          </w:p>
          <w:p w:rsidR="00000000" w:rsidRPr="005A54D6" w:rsidP="005A54D6">
            <w:pPr>
              <w:pStyle w:val="BodyText"/>
            </w:pPr>
            <w:r w:rsidRPr="005A54D6">
              <w:t>1.4 Ensure client is correctly and comfortably positioned to access the veins</w:t>
            </w:r>
          </w:p>
          <w:p w:rsidR="00000000" w:rsidRPr="005A54D6" w:rsidP="005A54D6">
            <w:pPr>
              <w:pStyle w:val="BodyText"/>
            </w:pPr>
            <w:r w:rsidRPr="005A54D6">
              <w:t>1.5 Work with multidisciplinary team to coordinate activities to ensure they do not impact on peripheral vascular c</w:t>
            </w:r>
            <w:r w:rsidRPr="005A54D6">
              <w:t xml:space="preserve">annulation </w:t>
            </w:r>
          </w:p>
          <w:p w:rsidR="00000000" w:rsidRPr="005A54D6" w:rsidP="005A54D6">
            <w:pPr>
              <w:pStyle w:val="BodyText"/>
            </w:pPr>
            <w:r w:rsidRPr="005A54D6">
              <w:t xml:space="preserve">1.6 Discuss with parent/carer/staff member appropriate holding and/or distraction technique for a client during cannulation </w:t>
            </w:r>
          </w:p>
          <w:p w:rsidR="00000000" w:rsidRPr="005A54D6" w:rsidP="005A54D6">
            <w:pPr>
              <w:pStyle w:val="BodyText"/>
            </w:pPr>
            <w:r w:rsidRPr="005A54D6">
              <w:t>1.7 Assemble and prepare peripheral intravenous cannulation equipment using standard precautions</w:t>
            </w:r>
          </w:p>
          <w:p w:rsidR="00000000" w:rsidRPr="005A54D6" w:rsidP="005A54D6">
            <w:pPr>
              <w:pStyle w:val="BodyText"/>
            </w:pPr>
            <w:r w:rsidRPr="005A54D6">
              <w:t>1.8 Apply tourniquet/b</w:t>
            </w:r>
            <w:r w:rsidRPr="005A54D6">
              <w:t>lood pressure cuff to limb, palpate for identification of suitable vein and then release tourniquet/blood pressure cuff</w:t>
            </w:r>
          </w:p>
          <w:p w:rsidR="00000000" w:rsidRPr="005A54D6" w:rsidP="005A54D6">
            <w:pPr>
              <w:pStyle w:val="BodyText"/>
            </w:pPr>
            <w:r w:rsidRPr="005A54D6">
              <w:t>1.9 Prepare and clean insertion site for cannulation</w:t>
            </w:r>
          </w:p>
        </w:tc>
      </w:tr>
    </w:tbl>
    <w:p w:rsidR="00000000" w:rsidRPr="005A54D6" w:rsidP="005A54D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4"/>
      </w:tblGrid>
      <w:tr w:rsidTr="0052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4D6">
            <w:pPr>
              <w:pStyle w:val="BodyText"/>
              <w:rPr>
                <w:lang w:val="en-NZ"/>
              </w:rPr>
            </w:pPr>
            <w:r w:rsidRPr="005A54D6">
              <w:t>2. Perform peripheral intravenous cannulation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D6" w:rsidP="005A54D6">
            <w:pPr>
              <w:pStyle w:val="BodyText"/>
            </w:pPr>
            <w:r w:rsidRPr="005A54D6">
              <w:t>2.1 Identify own work health and sa</w:t>
            </w:r>
            <w:r w:rsidRPr="005A54D6">
              <w:t>fety (WHS) risks associated with poor posture during procedure and adjust client’s position</w:t>
            </w:r>
          </w:p>
          <w:p w:rsidR="00000000" w:rsidRPr="005A54D6" w:rsidP="005A54D6">
            <w:pPr>
              <w:pStyle w:val="BodyText"/>
            </w:pPr>
            <w:r w:rsidRPr="005A54D6">
              <w:t>2.2 Use aseptic technique to insert peripheral intravenous cannula in accordance with manufacturer’s instructions and organisation policies and procedures</w:t>
            </w:r>
          </w:p>
          <w:p w:rsidR="00000000" w:rsidP="005A54D6">
            <w:pPr>
              <w:pStyle w:val="BodyText"/>
              <w:rPr>
                <w:lang w:val="en-NZ"/>
              </w:rPr>
            </w:pPr>
            <w:r w:rsidRPr="005A54D6">
              <w:t xml:space="preserve">2.3 Respond to complications in accordance with organisation policy and procedures and refer client to supervisor </w:t>
            </w:r>
          </w:p>
        </w:tc>
      </w:tr>
      <w:tr w:rsidTr="0052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D6" w:rsidP="005A54D6">
            <w:pPr>
              <w:pStyle w:val="BodyText"/>
            </w:pPr>
            <w:r w:rsidRPr="005A54D6">
              <w:t>2.4 Dress the site with visibility of cannula entry and secure cannula to limb.</w:t>
            </w:r>
          </w:p>
          <w:p w:rsidR="00000000" w:rsidRPr="005A54D6" w:rsidP="005A54D6">
            <w:pPr>
              <w:pStyle w:val="BodyText"/>
            </w:pPr>
            <w:r w:rsidRPr="005A54D6">
              <w:t>2.5 Date the cannula in-situ dressing site, ensure client i</w:t>
            </w:r>
            <w:r w:rsidRPr="005A54D6">
              <w:t xml:space="preserve">s left comfortable and is provided with relevant information and instructions </w:t>
            </w:r>
          </w:p>
          <w:p w:rsidR="00000000" w:rsidRPr="005A54D6" w:rsidP="005A54D6">
            <w:pPr>
              <w:pStyle w:val="BodyText"/>
            </w:pPr>
            <w:r w:rsidRPr="005A54D6">
              <w:t>2.6 Dispose of wastes, taking into account opportunities to address waste minimisation, environmental responsibility and sustainable practice issues</w:t>
            </w:r>
          </w:p>
          <w:p w:rsidR="00000000" w:rsidRPr="005A54D6" w:rsidP="005A54D6">
            <w:pPr>
              <w:pStyle w:val="BodyText"/>
            </w:pPr>
            <w:r w:rsidRPr="005A54D6">
              <w:t>2.7 Document in client’s hea</w:t>
            </w:r>
            <w:r w:rsidRPr="005A54D6">
              <w:t xml:space="preserve">lth information the site of </w:t>
            </w:r>
            <w:r w:rsidRPr="005A54D6">
              <w:t>peripheral intravenous cannulation and number of attempts</w:t>
            </w:r>
          </w:p>
          <w:p w:rsidR="00000000" w:rsidP="005A54D6">
            <w:pPr>
              <w:pStyle w:val="ListContinue"/>
              <w:rPr>
                <w:lang w:val="en-NZ"/>
              </w:rPr>
            </w:pPr>
          </w:p>
        </w:tc>
      </w:tr>
      <w:tr w:rsidTr="00523B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D6" w:rsidP="005A54D6">
            <w:pPr>
              <w:pStyle w:val="BodyText"/>
            </w:pPr>
            <w:r w:rsidRPr="005A54D6">
              <w:t>3. Monitor peripheral intravenous cannula in-situ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4D6" w:rsidP="005A54D6">
            <w:pPr>
              <w:pStyle w:val="BodyText"/>
            </w:pPr>
            <w:r w:rsidRPr="005A54D6">
              <w:t>3.1 Assess site and cannula patency regularly in accordance with organisation procedures</w:t>
            </w:r>
          </w:p>
          <w:p w:rsidR="00000000" w:rsidRPr="005A54D6" w:rsidP="005A54D6">
            <w:pPr>
              <w:pStyle w:val="BodyText"/>
            </w:pPr>
            <w:r w:rsidRPr="005A54D6">
              <w:t xml:space="preserve">3.2 Refer to supervisor or </w:t>
            </w:r>
            <w:r w:rsidRPr="005A54D6">
              <w:t xml:space="preserve">authorised personnel observed indications for cannula removal </w:t>
            </w:r>
          </w:p>
          <w:p w:rsidR="00000000" w:rsidRPr="005A54D6" w:rsidP="005A54D6">
            <w:pPr>
              <w:pStyle w:val="BodyText"/>
            </w:pPr>
            <w:r w:rsidRPr="005A54D6">
              <w:t xml:space="preserve">3.3 Upon authorised request, remove intravenous cannula, cover insertion site and check bleeding has stopped </w:t>
            </w:r>
          </w:p>
          <w:p w:rsidR="00000000" w:rsidRPr="005A54D6" w:rsidP="005A54D6">
            <w:pPr>
              <w:pStyle w:val="ListContinue"/>
            </w:pPr>
          </w:p>
        </w:tc>
      </w:tr>
    </w:tbl>
    <w:p w:rsidR="00523B50" w:rsidP="005A54D6">
      <w:pPr>
        <w:pStyle w:val="ListContinue"/>
      </w:pPr>
    </w:p>
    <w:p w:rsidR="00523B50" w:rsidP="005A54D6">
      <w:pPr>
        <w:pStyle w:val="ListContinue"/>
      </w:pPr>
    </w:p>
    <w:p w:rsidR="00000000" w:rsidRPr="005A54D6" w:rsidP="005A54D6">
      <w:pPr>
        <w:pStyle w:val="Heading1"/>
      </w:pPr>
      <w:bookmarkStart w:id="4" w:name="O_743661"/>
      <w:bookmarkEnd w:id="4"/>
      <w:r w:rsidRPr="005A54D6">
        <w:t>Foundation Skills</w:t>
      </w:r>
    </w:p>
    <w:p w:rsidR="00000000" w:rsidRPr="00523B50" w:rsidP="00523B50">
      <w:pPr>
        <w:pStyle w:val="BodyText"/>
        <w:rPr>
          <w:i/>
        </w:rPr>
      </w:pPr>
      <w:r w:rsidRPr="00523B50">
        <w:rPr>
          <w:rStyle w:val="Emphasis"/>
        </w:rPr>
        <w:t>The Foundation Skills describe those required skills (such as, language, literacy, numeracy and employment skills) that are essential to performance</w:t>
      </w:r>
    </w:p>
    <w:p w:rsidR="00523B50" w:rsidP="00523B50">
      <w:pPr>
        <w:pStyle w:val="BodyText"/>
      </w:pPr>
      <w:r w:rsidRPr="005A54D6">
        <w:t>Foundation skills essential to performance are explicit in the performance criteria of this unit of compet</w:t>
      </w:r>
      <w:r w:rsidRPr="005A54D6">
        <w:t>ency.</w:t>
      </w:r>
    </w:p>
    <w:p w:rsidR="00000000" w:rsidRPr="005A54D6" w:rsidP="005A54D6">
      <w:pPr>
        <w:pStyle w:val="Heading1"/>
      </w:pPr>
      <w:bookmarkStart w:id="5" w:name="O_743663"/>
      <w:bookmarkEnd w:id="5"/>
      <w:r w:rsidRPr="005A54D6">
        <w:t>Unit Mapping Information</w:t>
      </w:r>
    </w:p>
    <w:p w:rsidR="00000000" w:rsidRPr="005A54D6" w:rsidP="00523B50">
      <w:pPr>
        <w:pStyle w:val="BodyText"/>
      </w:pPr>
      <w:r w:rsidRPr="005A54D6">
        <w:t>No equivalent unit.</w:t>
      </w:r>
    </w:p>
    <w:p w:rsidR="00000000" w:rsidRPr="005A54D6" w:rsidP="005A54D6">
      <w:pPr>
        <w:pStyle w:val="Heading1"/>
      </w:pPr>
      <w:bookmarkStart w:id="6" w:name="O_743670"/>
      <w:bookmarkEnd w:id="6"/>
      <w:r w:rsidRPr="005A54D6">
        <w:t>Links</w:t>
      </w:r>
    </w:p>
    <w:p w:rsidR="00000000" w:rsidRPr="005A54D6" w:rsidP="00523B50">
      <w:pPr>
        <w:pStyle w:val="BodyText"/>
      </w:pPr>
      <w:r w:rsidRPr="005A54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E0D2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A54D6" w:rsidP="005A54D6"/>
    <w:sectPr w:rsidSect="005A54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D6" w:rsidRPr="00523B50" w:rsidP="00523B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50" w:rsidP="005A5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B50" w:rsidP="005A5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23B50" w:rsidP="005A54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4D6" w:rsidRPr="00523B50" w:rsidP="00523B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B50" w:rsidRPr="002D2AF8" w:rsidP="005A5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HLTHPS009 Perform peripheral intravenous cannulation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23B50" w:rsidP="005A54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4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4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4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4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4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4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4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4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4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4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4D6"/>
  </w:style>
  <w:style w:type="character" w:customStyle="1" w:styleId="Heading1Char">
    <w:name w:val="Heading 1 Char"/>
    <w:basedOn w:val="DefaultParagraphFont"/>
    <w:link w:val="Heading1"/>
    <w:rsid w:val="005A54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4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4D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54D6"/>
    <w:rPr>
      <w:b/>
      <w:spacing w:val="0"/>
    </w:rPr>
  </w:style>
  <w:style w:type="character" w:styleId="Emphasis">
    <w:name w:val="Emphasis"/>
    <w:basedOn w:val="DefaultParagraphFont"/>
    <w:qFormat/>
    <w:rsid w:val="005A54D6"/>
    <w:rPr>
      <w:i/>
    </w:rPr>
  </w:style>
  <w:style w:type="paragraph" w:customStyle="1" w:styleId="SuperHeading">
    <w:name w:val="SuperHeading"/>
    <w:basedOn w:val="Normal"/>
    <w:rsid w:val="005A54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4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5A54D6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5A54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4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4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4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4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4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4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4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4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4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4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4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4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4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4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54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54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4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4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4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54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54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4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4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4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4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4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4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4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4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54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4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4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4D6"/>
  </w:style>
  <w:style w:type="paragraph" w:styleId="TableofFigures">
    <w:name w:val="table of figures"/>
    <w:basedOn w:val="Normal"/>
    <w:next w:val="Normal"/>
    <w:semiHidden/>
    <w:rsid w:val="005A54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4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54D6"/>
    <w:rPr>
      <w:rFonts w:ascii="Wingdings" w:hAnsi="Wingdings"/>
    </w:rPr>
  </w:style>
  <w:style w:type="paragraph" w:customStyle="1" w:styleId="TableHeading">
    <w:name w:val="Table Heading"/>
    <w:basedOn w:val="HeadingBase"/>
    <w:rsid w:val="005A54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4D6"/>
    <w:rPr>
      <w:color w:val="0033CC"/>
      <w:u w:val="none"/>
    </w:rPr>
  </w:style>
  <w:style w:type="paragraph" w:customStyle="1" w:styleId="BodyTextRight">
    <w:name w:val="Body Text Right"/>
    <w:basedOn w:val="BodyText"/>
    <w:rsid w:val="005A54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4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4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4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4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4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4D6"/>
    <w:rPr>
      <w:sz w:val="32"/>
    </w:rPr>
  </w:style>
  <w:style w:type="paragraph" w:customStyle="1" w:styleId="HeadingProcedure">
    <w:name w:val="Heading Procedure"/>
    <w:basedOn w:val="HeadingBase"/>
    <w:next w:val="Normal"/>
    <w:rsid w:val="005A54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4D6"/>
    <w:pPr>
      <w:spacing w:before="60" w:after="60"/>
    </w:pPr>
  </w:style>
  <w:style w:type="paragraph" w:customStyle="1" w:styleId="ListNote">
    <w:name w:val="List Note"/>
    <w:basedOn w:val="List"/>
    <w:rsid w:val="005A54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4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4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4D6"/>
    <w:rPr>
      <w:rFonts w:ascii="Courier New" w:hAnsi="Courier New"/>
    </w:rPr>
  </w:style>
  <w:style w:type="paragraph" w:customStyle="1" w:styleId="NoteBullet">
    <w:name w:val="Note Bullet"/>
    <w:basedOn w:val="Note"/>
    <w:rsid w:val="005A54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4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4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4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4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54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4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4D6"/>
    <w:rPr>
      <w:b/>
      <w:smallCaps/>
    </w:rPr>
  </w:style>
  <w:style w:type="paragraph" w:customStyle="1" w:styleId="TableListNumber">
    <w:name w:val="Table List Number"/>
    <w:basedOn w:val="ListNumber"/>
    <w:rsid w:val="005A54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4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4D6"/>
    <w:pPr>
      <w:numPr>
        <w:numId w:val="7"/>
      </w:numPr>
    </w:pPr>
  </w:style>
  <w:style w:type="paragraph" w:customStyle="1" w:styleId="ListAlpha2">
    <w:name w:val="List Alpha 2"/>
    <w:basedOn w:val="List2"/>
    <w:rsid w:val="005A54D6"/>
    <w:pPr>
      <w:numPr>
        <w:numId w:val="6"/>
      </w:numPr>
    </w:pPr>
  </w:style>
  <w:style w:type="paragraph" w:styleId="List2">
    <w:name w:val="List 2"/>
    <w:basedOn w:val="BodyText"/>
    <w:rsid w:val="005A54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4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4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4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4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4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54D6"/>
    <w:pPr>
      <w:numPr>
        <w:numId w:val="2"/>
      </w:numPr>
    </w:pPr>
  </w:style>
  <w:style w:type="paragraph" w:styleId="ListContinue2">
    <w:name w:val="List Continue 2"/>
    <w:basedOn w:val="List2"/>
    <w:rsid w:val="005A54D6"/>
    <w:pPr>
      <w:ind w:firstLine="0"/>
    </w:pPr>
  </w:style>
  <w:style w:type="paragraph" w:styleId="ListContinue3">
    <w:name w:val="List Continue 3"/>
    <w:basedOn w:val="List3"/>
    <w:rsid w:val="005A54D6"/>
    <w:pPr>
      <w:ind w:left="1021" w:firstLine="0"/>
    </w:pPr>
  </w:style>
  <w:style w:type="paragraph" w:styleId="ListContinue4">
    <w:name w:val="List Continue 4"/>
    <w:basedOn w:val="List4"/>
    <w:rsid w:val="005A54D6"/>
    <w:pPr>
      <w:ind w:firstLine="0"/>
    </w:pPr>
  </w:style>
  <w:style w:type="paragraph" w:styleId="ListContinue5">
    <w:name w:val="List Continue 5"/>
    <w:basedOn w:val="List5"/>
    <w:rsid w:val="005A54D6"/>
    <w:pPr>
      <w:ind w:firstLine="0"/>
    </w:pPr>
  </w:style>
  <w:style w:type="paragraph" w:styleId="ListNumber3">
    <w:name w:val="List Number 3"/>
    <w:basedOn w:val="List3"/>
    <w:rsid w:val="005A54D6"/>
    <w:pPr>
      <w:numPr>
        <w:numId w:val="3"/>
      </w:numPr>
    </w:pPr>
  </w:style>
  <w:style w:type="paragraph" w:styleId="ListNumber4">
    <w:name w:val="List Number 4"/>
    <w:basedOn w:val="List4"/>
    <w:rsid w:val="005A54D6"/>
    <w:pPr>
      <w:numPr>
        <w:numId w:val="4"/>
      </w:numPr>
    </w:pPr>
  </w:style>
  <w:style w:type="paragraph" w:styleId="ListNumber5">
    <w:name w:val="List Number 5"/>
    <w:basedOn w:val="List5"/>
    <w:rsid w:val="005A54D6"/>
    <w:pPr>
      <w:numPr>
        <w:numId w:val="5"/>
      </w:numPr>
    </w:pPr>
  </w:style>
  <w:style w:type="paragraph" w:styleId="BlockText">
    <w:name w:val="Block Text"/>
    <w:basedOn w:val="Normal"/>
    <w:rsid w:val="005A54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4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4D6"/>
    <w:rPr>
      <w:sz w:val="16"/>
      <w:vertAlign w:val="superscript"/>
    </w:rPr>
  </w:style>
  <w:style w:type="character" w:customStyle="1" w:styleId="Symbols">
    <w:name w:val="Symbols"/>
    <w:basedOn w:val="DefaultParagraphFont"/>
    <w:rsid w:val="005A54D6"/>
    <w:rPr>
      <w:rFonts w:ascii="Symbol" w:hAnsi="Symbol"/>
    </w:rPr>
  </w:style>
  <w:style w:type="character" w:customStyle="1" w:styleId="MenuOptions">
    <w:name w:val="Menu Options"/>
    <w:basedOn w:val="DefaultParagraphFont"/>
    <w:rsid w:val="005A54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4D6"/>
    <w:rPr>
      <w:b/>
    </w:rPr>
  </w:style>
  <w:style w:type="character" w:customStyle="1" w:styleId="Underlined">
    <w:name w:val="Underlined"/>
    <w:basedOn w:val="DefaultParagraphFont"/>
    <w:rsid w:val="005A54D6"/>
    <w:rPr>
      <w:u w:val="single"/>
    </w:rPr>
  </w:style>
  <w:style w:type="paragraph" w:customStyle="1" w:styleId="TableBodyTextRight">
    <w:name w:val="Table Body Text Right"/>
    <w:basedOn w:val="TableBodyText"/>
    <w:rsid w:val="005A54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4D6"/>
    <w:rPr>
      <w:sz w:val="18"/>
    </w:rPr>
  </w:style>
  <w:style w:type="paragraph" w:customStyle="1" w:styleId="BodySmallRight">
    <w:name w:val="Body Small Right"/>
    <w:basedOn w:val="BodyTextRight"/>
    <w:rsid w:val="005A54D6"/>
    <w:rPr>
      <w:sz w:val="18"/>
      <w:szCs w:val="18"/>
    </w:rPr>
  </w:style>
  <w:style w:type="paragraph" w:customStyle="1" w:styleId="MarginEdition">
    <w:name w:val="Margin Edition"/>
    <w:basedOn w:val="MarginNote"/>
    <w:rsid w:val="005A54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4D6"/>
    <w:rPr>
      <w:sz w:val="2"/>
      <w:szCs w:val="2"/>
    </w:rPr>
  </w:style>
  <w:style w:type="character" w:customStyle="1" w:styleId="Small">
    <w:name w:val="Small"/>
    <w:basedOn w:val="DefaultParagraphFont"/>
    <w:rsid w:val="005A54D6"/>
    <w:rPr>
      <w:sz w:val="16"/>
    </w:rPr>
  </w:style>
  <w:style w:type="paragraph" w:customStyle="1" w:styleId="WideTable">
    <w:name w:val="Wide Table"/>
    <w:basedOn w:val="Normal"/>
    <w:rsid w:val="005A54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4D6"/>
  </w:style>
  <w:style w:type="paragraph" w:styleId="Quote">
    <w:name w:val="Quote"/>
    <w:basedOn w:val="Heading1"/>
    <w:link w:val="QuoteChar"/>
    <w:qFormat/>
    <w:rsid w:val="005A54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4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4D6"/>
    <w:pPr>
      <w:pageBreakBefore/>
    </w:pPr>
  </w:style>
  <w:style w:type="paragraph" w:customStyle="1" w:styleId="Border">
    <w:name w:val="Border"/>
    <w:basedOn w:val="Normal"/>
    <w:qFormat/>
    <w:rsid w:val="005A54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4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4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4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4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4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4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4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4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4D6"/>
    <w:rPr>
      <w:u w:val="single"/>
    </w:rPr>
  </w:style>
  <w:style w:type="character" w:customStyle="1" w:styleId="BoldandItalics">
    <w:name w:val="Bold and Italics"/>
    <w:qFormat/>
    <w:rsid w:val="005A54D6"/>
    <w:rPr>
      <w:b/>
      <w:i/>
      <w:u w:val="none"/>
    </w:rPr>
  </w:style>
  <w:style w:type="paragraph" w:styleId="BalloonText">
    <w:name w:val="Balloon Text"/>
    <w:basedOn w:val="Normal"/>
    <w:link w:val="BalloonTextChar"/>
    <w:rsid w:val="005A5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4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4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4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4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4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4D6"/>
    <w:pPr>
      <w:spacing w:before="0" w:after="0"/>
    </w:pPr>
  </w:style>
  <w:style w:type="paragraph" w:customStyle="1" w:styleId="BodyTextBold">
    <w:name w:val="Body Text Bold"/>
    <w:basedOn w:val="BodyText"/>
    <w:qFormat/>
    <w:rsid w:val="005A54D6"/>
    <w:rPr>
      <w:b/>
    </w:rPr>
  </w:style>
  <w:style w:type="character" w:styleId="Hyperlink">
    <w:name w:val="Hyperlink"/>
    <w:basedOn w:val="DefaultParagraphFont"/>
    <w:uiPriority w:val="99"/>
    <w:unhideWhenUsed/>
    <w:rsid w:val="00523B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3872</Characters>
  <Application>Microsoft Office Word</Application>
  <DocSecurity>0</DocSecurity>
  <Lines>124</Lines>
  <Paragraphs>57</Paragraphs>
  <ScaleCrop>false</ScaleCrop>
  <Company>Author-it Software Corporation Ltd.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HLTHPS009 Perform peripheral intravenous cannulation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2023-07-01T03:57:00Z</dcterms:created>
  <dcterms:modified xsi:type="dcterms:W3CDTF">2023-07-01T03:57:00Z</dcterms:modified>
</cp:coreProperties>
</file>