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36872" w:rsidP="00936872">
      <w:pPr>
        <w:pStyle w:val="Title"/>
      </w:pPr>
      <w:r>
        <w:fldChar w:fldCharType="begin"/>
      </w:r>
      <w:r>
        <w:instrText xml:space="preserve"> TITLE   \* MERGEFORMAT </w:instrText>
      </w:r>
      <w:r>
        <w:fldChar w:fldCharType="separate"/>
      </w:r>
      <w:r>
        <w:t>HLTHPS009 Perform peripheral intravenous cannulation</w:t>
      </w:r>
      <w:r>
        <w:fldChar w:fldCharType="end"/>
      </w:r>
    </w:p>
    <w:p w:rsidR="00936872" w:rsidP="00936872">
      <w:pPr>
        <w:pStyle w:val="Version"/>
        <w:sectPr w:rsidSect="004D4BC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D4BC4" w:rsidP="004D4BC4">
      <w:pPr>
        <w:pStyle w:val="SuperHeading"/>
      </w:pPr>
      <w:r w:rsidRPr="004D4BC4">
        <w:t>HLTHPS009 Perform peripheral intravenous cannulation</w:t>
      </w:r>
    </w:p>
    <w:p w:rsidR="00000000" w:rsidRPr="004D4BC4" w:rsidP="004D4BC4">
      <w:pPr>
        <w:pStyle w:val="Heading1"/>
      </w:pPr>
      <w:bookmarkStart w:id="1" w:name="O_743655"/>
      <w:bookmarkEnd w:id="1"/>
      <w:r w:rsidRPr="004D4BC4">
        <w:t>Modification History</w:t>
      </w:r>
    </w:p>
    <w:tbl>
      <w:tblPr>
        <w:tblW w:w="0" w:type="auto"/>
        <w:tblLayout w:type="fixed"/>
        <w:tblCellMar>
          <w:left w:w="62" w:type="dxa"/>
          <w:right w:w="62" w:type="dxa"/>
        </w:tblCellMar>
        <w:tblLook w:val="0000"/>
      </w:tblPr>
      <w:tblGrid>
        <w:gridCol w:w="2790"/>
        <w:gridCol w:w="6344"/>
      </w:tblGrid>
      <w:tr w:rsidTr="004D4BC4">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4BC4" w:rsidP="004D4BC4">
            <w:pPr>
              <w:pStyle w:val="BodyText"/>
            </w:pPr>
            <w:r w:rsidRPr="004D4BC4">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4BC4">
            <w:pPr>
              <w:pStyle w:val="BodyText"/>
              <w:rPr>
                <w:lang w:val="en-NZ"/>
              </w:rPr>
            </w:pPr>
            <w:r w:rsidRPr="004D4BC4">
              <w:rPr>
                <w:rStyle w:val="SpecialBold"/>
              </w:rPr>
              <w:t>Comments</w:t>
            </w:r>
          </w:p>
        </w:tc>
      </w:tr>
      <w:tr w:rsidTr="004D4BC4">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4BC4">
            <w:pPr>
              <w:pStyle w:val="BodyText"/>
              <w:rPr>
                <w:lang w:val="en-NZ"/>
              </w:rPr>
            </w:pPr>
            <w:r w:rsidRPr="004D4BC4">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4BC4" w:rsidP="004D4BC4">
            <w:pPr>
              <w:pStyle w:val="BodyText"/>
            </w:pPr>
            <w:r w:rsidRPr="004D4BC4">
              <w:t xml:space="preserve">This version was released in </w:t>
            </w:r>
            <w:r w:rsidRPr="004D4BC4">
              <w:rPr>
                <w:rStyle w:val="Emphasis"/>
              </w:rPr>
              <w:t>HLT Health Training Package release 2.0</w:t>
            </w:r>
            <w:r w:rsidRPr="004D4BC4">
              <w:t xml:space="preserve"> and meets the requirements of the 2012 Standards for Training Packages.</w:t>
            </w:r>
          </w:p>
          <w:p w:rsidR="00000000" w:rsidRPr="004D4BC4" w:rsidP="004D4BC4">
            <w:pPr>
              <w:pStyle w:val="BodyText"/>
            </w:pPr>
            <w:r w:rsidRPr="004D4BC4">
              <w:t>Significant changes to the elements and performance crite</w:t>
            </w:r>
            <w:r w:rsidRPr="004D4BC4">
              <w:t>ria. New evidence requirements for assessment including volume and frequency requirements.</w:t>
            </w:r>
          </w:p>
        </w:tc>
      </w:tr>
    </w:tbl>
    <w:p w:rsidR="00936872" w:rsidP="004D4BC4">
      <w:pPr>
        <w:pStyle w:val="BodyText"/>
      </w:pPr>
    </w:p>
    <w:p w:rsidR="00936872" w:rsidP="004D4BC4">
      <w:pPr>
        <w:pStyle w:val="BodyText"/>
      </w:pPr>
    </w:p>
    <w:p w:rsidR="00000000" w:rsidRPr="004D4BC4" w:rsidP="004D4BC4">
      <w:pPr>
        <w:pStyle w:val="Heading1"/>
      </w:pPr>
      <w:bookmarkStart w:id="2" w:name="O_743656"/>
      <w:bookmarkEnd w:id="2"/>
      <w:r w:rsidRPr="004D4BC4">
        <w:t>Application</w:t>
      </w:r>
    </w:p>
    <w:p w:rsidR="00000000" w:rsidRPr="004D4BC4" w:rsidP="00936872">
      <w:pPr>
        <w:pStyle w:val="BodyText"/>
      </w:pPr>
      <w:r w:rsidRPr="004D4BC4">
        <w:t xml:space="preserve">This unit describes the skills and knowledge required to perform peripheral intravenous cannulation on clients. </w:t>
      </w:r>
    </w:p>
    <w:p w:rsidR="00000000" w:rsidRPr="004D4BC4" w:rsidP="00936872">
      <w:pPr>
        <w:pStyle w:val="BodyText"/>
      </w:pPr>
      <w:r w:rsidRPr="004D4BC4">
        <w:t>This unit applies t</w:t>
      </w:r>
      <w:r w:rsidRPr="004D4BC4">
        <w:t>o registered enrolled nurses, registered Aboriginal and/or Torres Strait Islander health practitioners and emergency workers for whom peripheral intravenous cannulation is part of the job role. They may be working in hospitals, primary health care in rural</w:t>
      </w:r>
      <w:r w:rsidRPr="004D4BC4">
        <w:t xml:space="preserve"> remote locations, pathology services, out-of-hospital settings or in other allied health care environments.</w:t>
      </w:r>
    </w:p>
    <w:p w:rsidR="00000000" w:rsidRPr="004D4BC4" w:rsidP="00936872">
      <w:pPr>
        <w:pStyle w:val="BodyText"/>
      </w:pPr>
      <w:r w:rsidRPr="004D4BC4">
        <w:t>The extent of the practitioner’s role for peripheral intravenous cannulation may be subject to state/territory legislation and organisation policy</w:t>
      </w:r>
      <w:r w:rsidRPr="004D4BC4">
        <w:t>, and competency should be demonstrated within the context of applicable legislation and organisation practice.</w:t>
      </w:r>
    </w:p>
    <w:p w:rsidR="00000000" w:rsidRPr="00936872" w:rsidP="00936872">
      <w:pPr>
        <w:pStyle w:val="BodyText"/>
        <w:rPr>
          <w:i/>
        </w:rPr>
      </w:pPr>
      <w:r w:rsidRPr="00936872">
        <w:rPr>
          <w:rStyle w:val="Emphasis"/>
        </w:rPr>
        <w:t>The skills in this unit must be applied in accordance with Commonwealth and State/Territory legislation, Australian/New Zealand standards and i</w:t>
      </w:r>
      <w:r w:rsidRPr="00936872">
        <w:rPr>
          <w:rStyle w:val="Emphasis"/>
        </w:rPr>
        <w:t>ndustry codes of practice.</w:t>
      </w:r>
    </w:p>
    <w:p w:rsidR="00000000" w:rsidRPr="004D4BC4" w:rsidP="004D4BC4">
      <w:pPr>
        <w:pStyle w:val="Heading1"/>
      </w:pPr>
      <w:bookmarkStart w:id="3" w:name="O_743660"/>
      <w:bookmarkEnd w:id="3"/>
      <w:r w:rsidRPr="004D4BC4">
        <w:t>Elements and Performance Criteria</w:t>
      </w:r>
    </w:p>
    <w:tbl>
      <w:tblPr>
        <w:tblW w:w="0" w:type="auto"/>
        <w:tblLayout w:type="fixed"/>
        <w:tblCellMar>
          <w:left w:w="62" w:type="dxa"/>
          <w:right w:w="62" w:type="dxa"/>
        </w:tblCellMar>
        <w:tblLook w:val="0000"/>
      </w:tblPr>
      <w:tblGrid>
        <w:gridCol w:w="3261"/>
        <w:gridCol w:w="5670"/>
      </w:tblGrid>
      <w:tr w:rsidTr="004D4BC4">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RPr="004D4BC4" w:rsidP="004D4BC4">
            <w:pPr>
              <w:pStyle w:val="BodyText"/>
            </w:pPr>
            <w:r w:rsidRPr="004D4BC4">
              <w:rPr>
                <w:rStyle w:val="SpecialBold"/>
              </w:rPr>
              <w:t>ELEMENT</w:t>
            </w:r>
          </w:p>
          <w:p w:rsidR="00000000" w:rsidRPr="004D4BC4" w:rsidP="004D4BC4">
            <w:pPr>
              <w:pStyle w:val="BodyText"/>
            </w:pPr>
            <w:r w:rsidRPr="004D4BC4">
              <w:rPr>
                <w:rStyle w:val="Emphasis"/>
              </w:rPr>
              <w:t>Elements define the essential outcomes</w:t>
            </w:r>
          </w:p>
        </w:tc>
        <w:tc>
          <w:tcPr>
            <w:tcW w:w="5670" w:type="dxa"/>
            <w:tcBorders>
              <w:top w:val="nil"/>
              <w:left w:val="nil"/>
              <w:bottom w:val="nil"/>
              <w:right w:val="nil"/>
            </w:tcBorders>
            <w:tcMar>
              <w:top w:w="0" w:type="dxa"/>
              <w:left w:w="62" w:type="dxa"/>
              <w:bottom w:w="0" w:type="dxa"/>
              <w:right w:w="62" w:type="dxa"/>
            </w:tcMar>
          </w:tcPr>
          <w:p w:rsidR="00000000" w:rsidRPr="004D4BC4" w:rsidP="004D4BC4">
            <w:pPr>
              <w:pStyle w:val="BodyText"/>
            </w:pPr>
            <w:r w:rsidRPr="004D4BC4">
              <w:rPr>
                <w:rStyle w:val="SpecialBold"/>
              </w:rPr>
              <w:t>PERFORMANCE CRITERIA</w:t>
            </w:r>
          </w:p>
          <w:p w:rsidR="00000000" w:rsidRPr="004D4BC4" w:rsidP="004D4BC4">
            <w:pPr>
              <w:pStyle w:val="BodyText"/>
            </w:pPr>
            <w:r w:rsidRPr="004D4BC4">
              <w:rPr>
                <w:rStyle w:val="Emphasis"/>
              </w:rPr>
              <w:t>Performance criteria describe the performance needed to demonstrate achievement of the element</w:t>
            </w:r>
          </w:p>
          <w:p w:rsidR="00000000" w:rsidP="004D4BC4">
            <w:pPr>
              <w:pStyle w:val="BodyText"/>
              <w:rPr>
                <w:lang w:val="en-NZ"/>
              </w:rPr>
            </w:pPr>
          </w:p>
        </w:tc>
      </w:tr>
      <w:tr w:rsidTr="004D4BC4">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4D4BC4">
            <w:pPr>
              <w:pStyle w:val="BodyText"/>
              <w:rPr>
                <w:lang w:val="en-NZ"/>
              </w:rPr>
            </w:pPr>
            <w:r w:rsidRPr="004D4BC4">
              <w:t xml:space="preserve">1. Prepare for peripheral intravenous cannulation </w:t>
            </w:r>
          </w:p>
        </w:tc>
        <w:tc>
          <w:tcPr>
            <w:tcW w:w="5670" w:type="dxa"/>
            <w:tcBorders>
              <w:top w:val="nil"/>
              <w:left w:val="nil"/>
              <w:bottom w:val="nil"/>
              <w:right w:val="nil"/>
            </w:tcBorders>
            <w:tcMar>
              <w:top w:w="0" w:type="dxa"/>
              <w:left w:w="62" w:type="dxa"/>
              <w:bottom w:w="0" w:type="dxa"/>
              <w:right w:w="62" w:type="dxa"/>
            </w:tcMar>
          </w:tcPr>
          <w:p w:rsidR="00000000" w:rsidRPr="004D4BC4" w:rsidP="004D4BC4">
            <w:pPr>
              <w:pStyle w:val="BodyText"/>
            </w:pPr>
            <w:r w:rsidRPr="004D4BC4">
              <w:t xml:space="preserve">1.1 Correctly identify client and authorised request/s for peripheral intravenous cannulation </w:t>
            </w:r>
          </w:p>
          <w:p w:rsidR="00000000" w:rsidRPr="004D4BC4" w:rsidP="004D4BC4">
            <w:pPr>
              <w:pStyle w:val="BodyText"/>
            </w:pPr>
            <w:r w:rsidRPr="004D4BC4">
              <w:t xml:space="preserve">1.2 Explain procedure to client and obtain consent and check for allergies </w:t>
            </w:r>
          </w:p>
          <w:p w:rsidR="00000000" w:rsidRPr="004D4BC4" w:rsidP="004D4BC4">
            <w:pPr>
              <w:pStyle w:val="BodyText"/>
            </w:pPr>
            <w:r w:rsidRPr="004D4BC4">
              <w:t>1.3 Identify any additional specif</w:t>
            </w:r>
            <w:r w:rsidRPr="004D4BC4">
              <w:t xml:space="preserve">ic requests/tests relevant to the procedure before proceeding </w:t>
            </w:r>
          </w:p>
          <w:p w:rsidR="00000000" w:rsidRPr="004D4BC4" w:rsidP="004D4BC4">
            <w:pPr>
              <w:pStyle w:val="BodyText"/>
            </w:pPr>
            <w:r w:rsidRPr="004D4BC4">
              <w:t>1.4 Ensure client is correctly and comfortably positioned to access the veins</w:t>
            </w:r>
          </w:p>
          <w:p w:rsidR="00000000" w:rsidRPr="004D4BC4" w:rsidP="004D4BC4">
            <w:pPr>
              <w:pStyle w:val="BodyText"/>
            </w:pPr>
            <w:r w:rsidRPr="004D4BC4">
              <w:t>1.5 Work with multidisciplinary team to coordinate activities to ensure they do not impact on peripheral vascular c</w:t>
            </w:r>
            <w:r w:rsidRPr="004D4BC4">
              <w:t xml:space="preserve">annulation </w:t>
            </w:r>
          </w:p>
          <w:p w:rsidR="00000000" w:rsidRPr="004D4BC4" w:rsidP="004D4BC4">
            <w:pPr>
              <w:pStyle w:val="BodyText"/>
            </w:pPr>
            <w:r w:rsidRPr="004D4BC4">
              <w:t xml:space="preserve">1.6 Discuss with parent/carer/staff member appropriate holding and/or distraction technique for a client during cannulation </w:t>
            </w:r>
          </w:p>
          <w:p w:rsidR="00000000" w:rsidRPr="004D4BC4" w:rsidP="004D4BC4">
            <w:pPr>
              <w:pStyle w:val="BodyText"/>
            </w:pPr>
            <w:r w:rsidRPr="004D4BC4">
              <w:t>1.7 Assemble and prepare peripheral intravenous cannulation equipment using standard precautions</w:t>
            </w:r>
          </w:p>
          <w:p w:rsidR="00000000" w:rsidRPr="004D4BC4" w:rsidP="004D4BC4">
            <w:pPr>
              <w:pStyle w:val="BodyText"/>
            </w:pPr>
            <w:r w:rsidRPr="004D4BC4">
              <w:t>1.8 Apply tourniquet/b</w:t>
            </w:r>
            <w:r w:rsidRPr="004D4BC4">
              <w:t>lood pressure cuff to limb, palpate for identification of suitable vein and then release tourniquet/blood pressure cuff</w:t>
            </w:r>
          </w:p>
          <w:p w:rsidR="00000000" w:rsidRPr="004D4BC4" w:rsidP="004D4BC4">
            <w:pPr>
              <w:pStyle w:val="BodyText"/>
            </w:pPr>
            <w:r w:rsidRPr="004D4BC4">
              <w:t>1.9 Prepare and clean insertion site for cannulation</w:t>
            </w:r>
          </w:p>
        </w:tc>
      </w:tr>
    </w:tbl>
    <w:p w:rsidR="00000000" w:rsidRPr="004D4BC4" w:rsidP="004D4BC4">
      <w:pPr>
        <w:pStyle w:val="BodyText"/>
      </w:pPr>
    </w:p>
    <w:tbl>
      <w:tblPr>
        <w:tblW w:w="0" w:type="auto"/>
        <w:tblLayout w:type="fixed"/>
        <w:tblCellMar>
          <w:left w:w="62" w:type="dxa"/>
          <w:right w:w="62" w:type="dxa"/>
        </w:tblCellMar>
        <w:tblLook w:val="0000"/>
      </w:tblPr>
      <w:tblGrid>
        <w:gridCol w:w="3261"/>
        <w:gridCol w:w="5704"/>
      </w:tblGrid>
      <w:tr w:rsidTr="00936872">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4D4BC4">
            <w:pPr>
              <w:pStyle w:val="BodyText"/>
              <w:rPr>
                <w:lang w:val="en-NZ"/>
              </w:rPr>
            </w:pPr>
            <w:r w:rsidRPr="004D4BC4">
              <w:t>2. Perform peripheral intravenous cannulation</w:t>
            </w:r>
          </w:p>
        </w:tc>
        <w:tc>
          <w:tcPr>
            <w:tcW w:w="5704" w:type="dxa"/>
            <w:tcBorders>
              <w:top w:val="nil"/>
              <w:left w:val="nil"/>
              <w:bottom w:val="nil"/>
              <w:right w:val="nil"/>
            </w:tcBorders>
            <w:tcMar>
              <w:top w:w="0" w:type="dxa"/>
              <w:left w:w="62" w:type="dxa"/>
              <w:bottom w:w="0" w:type="dxa"/>
              <w:right w:w="62" w:type="dxa"/>
            </w:tcMar>
          </w:tcPr>
          <w:p w:rsidR="00000000" w:rsidRPr="004D4BC4" w:rsidP="004D4BC4">
            <w:pPr>
              <w:pStyle w:val="BodyText"/>
            </w:pPr>
            <w:r w:rsidRPr="004D4BC4">
              <w:t>2.1 Identify own work health and safety (WHS) risks associated with poor posture during procedure and adjust client’s position</w:t>
            </w:r>
          </w:p>
          <w:p w:rsidR="00000000" w:rsidRPr="004D4BC4" w:rsidP="004D4BC4">
            <w:pPr>
              <w:pStyle w:val="BodyText"/>
            </w:pPr>
            <w:r w:rsidRPr="004D4BC4">
              <w:t>2.2 Use aseptic technique to insert peripheral intravenous cannula in accordance with manufacturer’s instructions and organisatio</w:t>
            </w:r>
            <w:r w:rsidRPr="004D4BC4">
              <w:t>n policies and procedures</w:t>
            </w:r>
          </w:p>
          <w:p w:rsidR="00000000" w:rsidP="004D4BC4">
            <w:pPr>
              <w:pStyle w:val="BodyText"/>
              <w:rPr>
                <w:lang w:val="en-NZ"/>
              </w:rPr>
            </w:pPr>
            <w:r w:rsidRPr="004D4BC4">
              <w:t xml:space="preserve">2.3 Respond to complications in accordance with organisation policy and procedures and refer client to supervisor </w:t>
            </w:r>
          </w:p>
        </w:tc>
      </w:tr>
      <w:tr w:rsidTr="00936872">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4" w:type="dxa"/>
            <w:tcBorders>
              <w:top w:val="nil"/>
              <w:left w:val="nil"/>
              <w:bottom w:val="nil"/>
              <w:right w:val="nil"/>
            </w:tcBorders>
            <w:tcMar>
              <w:top w:w="0" w:type="dxa"/>
              <w:left w:w="62" w:type="dxa"/>
              <w:bottom w:w="0" w:type="dxa"/>
              <w:right w:w="62" w:type="dxa"/>
            </w:tcMar>
          </w:tcPr>
          <w:p w:rsidR="00000000" w:rsidRPr="004D4BC4" w:rsidP="004D4BC4">
            <w:pPr>
              <w:pStyle w:val="BodyText"/>
            </w:pPr>
            <w:r w:rsidRPr="004D4BC4">
              <w:t>2.4 Dress the site with visibility of cannula entry and secure cannula to limb.</w:t>
            </w:r>
          </w:p>
          <w:p w:rsidR="00000000" w:rsidRPr="004D4BC4" w:rsidP="004D4BC4">
            <w:pPr>
              <w:pStyle w:val="BodyText"/>
            </w:pPr>
            <w:r w:rsidRPr="004D4BC4">
              <w:t>2.5 Date the cannula in-situ dres</w:t>
            </w:r>
            <w:r w:rsidRPr="004D4BC4">
              <w:t xml:space="preserve">sing site, ensure client is left comfortable and is provided with relevant information and instructions </w:t>
            </w:r>
          </w:p>
          <w:p w:rsidR="00000000" w:rsidRPr="004D4BC4" w:rsidP="004D4BC4">
            <w:pPr>
              <w:pStyle w:val="BodyText"/>
            </w:pPr>
            <w:r w:rsidRPr="004D4BC4">
              <w:t>2.6 Dispose of wastes, taking into account opportunities to address waste minimisation, environmental responsibility and sustainable practice issues</w:t>
            </w:r>
          </w:p>
          <w:p w:rsidR="00000000" w:rsidRPr="004D4BC4" w:rsidP="004D4BC4">
            <w:pPr>
              <w:pStyle w:val="BodyText"/>
            </w:pPr>
            <w:r w:rsidRPr="004D4BC4">
              <w:t>2.</w:t>
            </w:r>
            <w:r w:rsidRPr="004D4BC4">
              <w:t xml:space="preserve">7 Document in client’s health information the site of </w:t>
            </w:r>
            <w:r w:rsidRPr="004D4BC4">
              <w:t>peripheral intravenous cannulation and number of attempts</w:t>
            </w:r>
          </w:p>
          <w:p w:rsidR="00000000" w:rsidP="004D4BC4">
            <w:pPr>
              <w:pStyle w:val="ListContinue"/>
              <w:rPr>
                <w:lang w:val="en-NZ"/>
              </w:rPr>
            </w:pPr>
          </w:p>
        </w:tc>
      </w:tr>
      <w:tr w:rsidTr="00936872">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RPr="004D4BC4" w:rsidP="004D4BC4">
            <w:pPr>
              <w:pStyle w:val="BodyText"/>
            </w:pPr>
            <w:r w:rsidRPr="004D4BC4">
              <w:t>3. Monitor peripheral intravenous cannula in-situ</w:t>
            </w:r>
          </w:p>
          <w:p w:rsidR="00000000">
            <w:pPr>
              <w:pStyle w:val="BodyText"/>
              <w:keepLines w:val="0"/>
              <w:spacing w:before="0" w:after="0"/>
              <w:rPr>
                <w:rFonts w:ascii="Tahoma" w:hAnsi="Tahoma"/>
                <w:sz w:val="20"/>
                <w:lang w:val="en-NZ"/>
              </w:rPr>
            </w:pPr>
          </w:p>
        </w:tc>
        <w:tc>
          <w:tcPr>
            <w:tcW w:w="5704" w:type="dxa"/>
            <w:tcBorders>
              <w:top w:val="nil"/>
              <w:left w:val="nil"/>
              <w:bottom w:val="nil"/>
              <w:right w:val="nil"/>
            </w:tcBorders>
            <w:tcMar>
              <w:top w:w="0" w:type="dxa"/>
              <w:left w:w="62" w:type="dxa"/>
              <w:bottom w:w="0" w:type="dxa"/>
              <w:right w:w="62" w:type="dxa"/>
            </w:tcMar>
          </w:tcPr>
          <w:p w:rsidR="00000000" w:rsidRPr="004D4BC4" w:rsidP="004D4BC4">
            <w:pPr>
              <w:pStyle w:val="BodyText"/>
            </w:pPr>
            <w:r w:rsidRPr="004D4BC4">
              <w:t>3.1 Assess site and cannula patency regularly in accordance with organisation procedures</w:t>
            </w:r>
          </w:p>
          <w:p w:rsidR="00000000" w:rsidRPr="004D4BC4" w:rsidP="004D4BC4">
            <w:pPr>
              <w:pStyle w:val="BodyText"/>
            </w:pPr>
            <w:r w:rsidRPr="004D4BC4">
              <w:t>3</w:t>
            </w:r>
            <w:r w:rsidRPr="004D4BC4">
              <w:t xml:space="preserve">.2 Refer to supervisor or authorised personnel observed indications for cannula removal </w:t>
            </w:r>
          </w:p>
          <w:p w:rsidR="00000000" w:rsidRPr="004D4BC4" w:rsidP="004D4BC4">
            <w:pPr>
              <w:pStyle w:val="BodyText"/>
            </w:pPr>
            <w:r w:rsidRPr="004D4BC4">
              <w:t xml:space="preserve">3.3 Upon authorised request, remove intravenous cannula, cover insertion site and check bleeding has stopped </w:t>
            </w:r>
          </w:p>
          <w:p w:rsidR="00000000" w:rsidRPr="004D4BC4" w:rsidP="004D4BC4">
            <w:pPr>
              <w:pStyle w:val="ListContinue"/>
            </w:pPr>
          </w:p>
        </w:tc>
      </w:tr>
    </w:tbl>
    <w:p w:rsidR="00936872" w:rsidP="004D4BC4">
      <w:pPr>
        <w:pStyle w:val="ListContinue"/>
      </w:pPr>
    </w:p>
    <w:p w:rsidR="00936872" w:rsidP="004D4BC4">
      <w:pPr>
        <w:pStyle w:val="ListContinue"/>
      </w:pPr>
    </w:p>
    <w:p w:rsidR="00000000" w:rsidRPr="004D4BC4" w:rsidP="004D4BC4">
      <w:pPr>
        <w:pStyle w:val="Heading1"/>
      </w:pPr>
      <w:bookmarkStart w:id="4" w:name="O_743661"/>
      <w:bookmarkEnd w:id="4"/>
      <w:r w:rsidRPr="004D4BC4">
        <w:t>Foundation Skills</w:t>
      </w:r>
    </w:p>
    <w:p w:rsidR="00000000" w:rsidRPr="00936872" w:rsidP="00936872">
      <w:pPr>
        <w:pStyle w:val="BodyText"/>
        <w:rPr>
          <w:i/>
        </w:rPr>
      </w:pPr>
      <w:r w:rsidRPr="00936872">
        <w:rPr>
          <w:rStyle w:val="Emphasis"/>
        </w:rPr>
        <w:t>The Foundation Skills describe those required skills (such as, language, literacy, numeracy and employment skills) that are essential to performance</w:t>
      </w:r>
    </w:p>
    <w:p w:rsidR="00936872" w:rsidP="00936872">
      <w:pPr>
        <w:pStyle w:val="BodyText"/>
      </w:pPr>
      <w:r w:rsidRPr="004D4BC4">
        <w:t>Foundation skills essential to performance are explicit in the performance criteria of this unit of compet</w:t>
      </w:r>
      <w:r w:rsidRPr="004D4BC4">
        <w:t>ency.</w:t>
      </w:r>
    </w:p>
    <w:p w:rsidR="00000000" w:rsidRPr="004D4BC4" w:rsidP="004D4BC4">
      <w:pPr>
        <w:pStyle w:val="Heading1"/>
      </w:pPr>
      <w:bookmarkStart w:id="5" w:name="O_743663"/>
      <w:bookmarkEnd w:id="5"/>
      <w:r w:rsidRPr="004D4BC4">
        <w:t>Unit Mapping Information</w:t>
      </w:r>
    </w:p>
    <w:p w:rsidR="00000000" w:rsidRPr="004D4BC4" w:rsidP="00936872">
      <w:pPr>
        <w:pStyle w:val="BodyText"/>
      </w:pPr>
      <w:r w:rsidRPr="004D4BC4">
        <w:t>No equivalent unit.</w:t>
      </w:r>
    </w:p>
    <w:p w:rsidR="00000000" w:rsidRPr="004D4BC4" w:rsidP="004D4BC4">
      <w:pPr>
        <w:pStyle w:val="Heading1"/>
      </w:pPr>
      <w:bookmarkStart w:id="6" w:name="O_743670"/>
      <w:bookmarkEnd w:id="6"/>
      <w:r w:rsidRPr="004D4BC4">
        <w:t>Links</w:t>
      </w:r>
    </w:p>
    <w:p w:rsidR="00000000" w:rsidRPr="004D4BC4" w:rsidP="00936872">
      <w:pPr>
        <w:pStyle w:val="BodyText"/>
      </w:pPr>
      <w:r w:rsidRPr="004D4BC4">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A16F0F">
        <w:rPr>
          <w:rStyle w:val="Hyperlink"/>
        </w:rPr>
        <w:t>https://vetnet.gov.au/Pages/TrainingDocs.aspx?q=ced1390f-48d9-4ab0-bd50-b015e5485705</w:t>
      </w:r>
      <w:r>
        <w:fldChar w:fldCharType="end"/>
      </w:r>
    </w:p>
    <w:p w:rsidR="00000000" w:rsidRPr="004D4BC4" w:rsidP="00936872">
      <w:pPr>
        <w:pStyle w:val="BodyText"/>
        <w:sectPr w:rsidSect="004D4BC4">
          <w:headerReference w:type="default" r:id="rId10"/>
          <w:footerReference w:type="default" r:id="rId11"/>
          <w:pgSz w:w="11908" w:h="16833"/>
          <w:pgMar w:top="1702" w:right="1418" w:bottom="1702" w:left="1418" w:header="992" w:footer="992" w:gutter="0"/>
          <w:cols w:space="720"/>
          <w:noEndnote/>
          <w:docGrid w:linePitch="299"/>
        </w:sectPr>
      </w:pPr>
    </w:p>
    <w:p w:rsidR="00000000" w:rsidRPr="004D4BC4" w:rsidP="004D4BC4">
      <w:pPr>
        <w:pStyle w:val="SuperHeading"/>
      </w:pPr>
      <w:r w:rsidRPr="004D4BC4">
        <w:t>Assessment Requirements for HLTHPS009 Perform peripheral intravenous cannulation</w:t>
      </w:r>
    </w:p>
    <w:p w:rsidR="00000000" w:rsidRPr="004D4BC4" w:rsidP="004D4BC4">
      <w:pPr>
        <w:pStyle w:val="Heading1"/>
      </w:pPr>
      <w:bookmarkStart w:id="7" w:name="O_743665"/>
      <w:bookmarkEnd w:id="7"/>
      <w:r w:rsidRPr="004D4BC4">
        <w:t>Modification History</w:t>
      </w:r>
    </w:p>
    <w:tbl>
      <w:tblPr>
        <w:tblW w:w="0" w:type="auto"/>
        <w:tblLayout w:type="fixed"/>
        <w:tblCellMar>
          <w:left w:w="62" w:type="dxa"/>
          <w:right w:w="62" w:type="dxa"/>
        </w:tblCellMar>
        <w:tblLook w:val="0000"/>
      </w:tblPr>
      <w:tblGrid>
        <w:gridCol w:w="2790"/>
        <w:gridCol w:w="6344"/>
      </w:tblGrid>
      <w:tr w:rsidTr="004D4BC4">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4BC4" w:rsidP="004D4BC4">
            <w:pPr>
              <w:pStyle w:val="BodyText"/>
            </w:pPr>
            <w:r w:rsidRPr="004D4BC4">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4BC4">
            <w:pPr>
              <w:pStyle w:val="BodyText"/>
              <w:rPr>
                <w:lang w:val="en-NZ"/>
              </w:rPr>
            </w:pPr>
            <w:r w:rsidRPr="004D4BC4">
              <w:rPr>
                <w:rStyle w:val="SpecialBold"/>
              </w:rPr>
              <w:t>Comments</w:t>
            </w:r>
          </w:p>
        </w:tc>
      </w:tr>
      <w:tr w:rsidTr="004D4BC4">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4BC4">
            <w:pPr>
              <w:pStyle w:val="BodyText"/>
              <w:rPr>
                <w:lang w:val="en-NZ"/>
              </w:rPr>
            </w:pPr>
            <w:r w:rsidRPr="004D4BC4">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4BC4" w:rsidP="004D4BC4">
            <w:pPr>
              <w:pStyle w:val="BodyText"/>
            </w:pPr>
            <w:r w:rsidRPr="004D4BC4">
              <w:t xml:space="preserve">This version was released in </w:t>
            </w:r>
            <w:r w:rsidRPr="004D4BC4">
              <w:rPr>
                <w:rStyle w:val="Emphasis"/>
              </w:rPr>
              <w:t>HLT Health Training Package release 2.0</w:t>
            </w:r>
            <w:r w:rsidRPr="004D4BC4">
              <w:t xml:space="preserve"> and meets the requirements of the 2012 Standards for Training Packages.</w:t>
            </w:r>
          </w:p>
          <w:p w:rsidR="00000000" w:rsidRPr="004D4BC4" w:rsidP="004D4BC4">
            <w:pPr>
              <w:pStyle w:val="BodyText"/>
            </w:pPr>
            <w:r w:rsidRPr="004D4BC4">
              <w:t>Significant changes to the elements and performance criteria. New evidence requirements for assessment including volume and frequency requiremen</w:t>
            </w:r>
            <w:r w:rsidRPr="004D4BC4">
              <w:t>ts.</w:t>
            </w:r>
          </w:p>
        </w:tc>
      </w:tr>
    </w:tbl>
    <w:p w:rsidR="00936872" w:rsidP="004D4BC4">
      <w:pPr>
        <w:pStyle w:val="BodyText"/>
      </w:pPr>
    </w:p>
    <w:p w:rsidR="00936872" w:rsidP="004D4BC4">
      <w:pPr>
        <w:pStyle w:val="BodyText"/>
      </w:pPr>
    </w:p>
    <w:p w:rsidR="00000000" w:rsidRPr="004D4BC4" w:rsidP="004D4BC4">
      <w:pPr>
        <w:pStyle w:val="Heading1"/>
      </w:pPr>
      <w:bookmarkStart w:id="8" w:name="O_743666"/>
      <w:bookmarkEnd w:id="8"/>
      <w:r w:rsidRPr="004D4BC4">
        <w:t>Performance Evidence</w:t>
      </w:r>
    </w:p>
    <w:p w:rsidR="00000000" w:rsidRPr="004D4BC4" w:rsidP="00936872">
      <w:pPr>
        <w:pStyle w:val="BodyText"/>
      </w:pPr>
      <w:r w:rsidRPr="004D4BC4">
        <w:t xml:space="preserve">The candidate must show evidence of the ability to complete tasks outlined in elements and performance criteria of this unit, manage tasks and manage contingencies </w:t>
      </w:r>
      <w:r w:rsidRPr="004D4BC4">
        <w:t>in the context of the job role. There must be evidence that the candidate has:</w:t>
      </w:r>
    </w:p>
    <w:p w:rsidR="00000000" w:rsidRPr="004D4BC4" w:rsidP="004D4BC4">
      <w:pPr>
        <w:pStyle w:val="ListBullet"/>
      </w:pPr>
      <w:r w:rsidRPr="004D4BC4">
        <w:t xml:space="preserve">prepared equipment and performed peripheral intravenous cannulation for 3 different clients according to manufacturer’s instructions and organisation procedures </w:t>
      </w:r>
    </w:p>
    <w:p w:rsidR="00000000" w:rsidRPr="004D4BC4" w:rsidP="004D4BC4">
      <w:pPr>
        <w:pStyle w:val="ListBullet"/>
      </w:pPr>
      <w:r w:rsidRPr="004D4BC4">
        <w:t>monitored 1 in</w:t>
      </w:r>
      <w:r w:rsidRPr="004D4BC4">
        <w:t>-situ peripheral intravenous cannula, documenting assessment of the patency of the cannula and condition of the site</w:t>
      </w:r>
    </w:p>
    <w:p w:rsidR="00000000" w:rsidRPr="004D4BC4" w:rsidP="004D4BC4">
      <w:pPr>
        <w:pStyle w:val="ListBullet"/>
      </w:pPr>
      <w:r w:rsidRPr="004D4BC4">
        <w:t>safely removed 1 peripheral intravenous cannula from a client in accordance with organisation procedures</w:t>
      </w:r>
    </w:p>
    <w:p w:rsidR="00000000" w:rsidRPr="004D4BC4" w:rsidP="004D4BC4">
      <w:pPr>
        <w:pStyle w:val="AllowPageBreak"/>
      </w:pPr>
    </w:p>
    <w:p w:rsidR="00000000" w:rsidRPr="004D4BC4" w:rsidP="004D4BC4">
      <w:pPr>
        <w:pStyle w:val="Heading1"/>
      </w:pPr>
      <w:bookmarkStart w:id="9" w:name="O_743667"/>
      <w:bookmarkEnd w:id="9"/>
      <w:r w:rsidRPr="004D4BC4">
        <w:t>Knowledge Evidence</w:t>
      </w:r>
    </w:p>
    <w:p w:rsidR="00000000" w:rsidRPr="004D4BC4" w:rsidP="00936872">
      <w:pPr>
        <w:pStyle w:val="BodyText"/>
      </w:pPr>
      <w:r w:rsidRPr="004D4BC4">
        <w:t xml:space="preserve">The candidate must be able to demonstrate essential knowledge required to effectively complete tasks outlined in elements and performance criteria of this unit, manage tasks and manage contingencies in the context of the work role. This </w:t>
      </w:r>
      <w:r w:rsidRPr="004D4BC4">
        <w:t xml:space="preserve">includes knowledge of: </w:t>
      </w:r>
    </w:p>
    <w:p w:rsidR="00000000" w:rsidRPr="004D4BC4" w:rsidP="004D4BC4">
      <w:pPr>
        <w:pStyle w:val="ListBullet"/>
      </w:pPr>
      <w:r w:rsidRPr="004D4BC4">
        <w:t>basic anatomy and physiology of the circulatory system and first aid relevant to bleeding from peripheral vascular system</w:t>
      </w:r>
    </w:p>
    <w:p w:rsidR="00000000" w:rsidRPr="004D4BC4" w:rsidP="004D4BC4">
      <w:pPr>
        <w:pStyle w:val="ListBullet"/>
      </w:pPr>
      <w:r w:rsidRPr="004D4BC4">
        <w:t>factors necessitating a client to need a peripheral intravenous cannula to be in-situ:</w:t>
      </w:r>
    </w:p>
    <w:p w:rsidR="00000000" w:rsidRPr="004D4BC4" w:rsidP="004D4BC4">
      <w:pPr>
        <w:pStyle w:val="ListBullet2"/>
      </w:pPr>
      <w:r w:rsidRPr="004D4BC4">
        <w:t>venous blood samples</w:t>
      </w:r>
    </w:p>
    <w:p w:rsidR="00000000" w:rsidRPr="004D4BC4" w:rsidP="004D4BC4">
      <w:pPr>
        <w:pStyle w:val="ListBullet2"/>
      </w:pPr>
      <w:r w:rsidRPr="004D4BC4">
        <w:t>intravenous fluids</w:t>
      </w:r>
    </w:p>
    <w:p w:rsidR="00000000" w:rsidRPr="004D4BC4" w:rsidP="004D4BC4">
      <w:pPr>
        <w:pStyle w:val="ListBullet2"/>
      </w:pPr>
      <w:r w:rsidRPr="004D4BC4">
        <w:t>medication</w:t>
      </w:r>
    </w:p>
    <w:p w:rsidR="00000000" w:rsidRPr="004D4BC4" w:rsidP="004D4BC4">
      <w:pPr>
        <w:pStyle w:val="ListBullet"/>
      </w:pPr>
      <w:r w:rsidRPr="004D4BC4">
        <w:t>identification of suitable veins in the upper and lower limbs for peripheral intravenous cannulation including:</w:t>
      </w:r>
    </w:p>
    <w:p w:rsidR="00000000" w:rsidRPr="004D4BC4" w:rsidP="004D4BC4">
      <w:pPr>
        <w:pStyle w:val="ListBullet2"/>
      </w:pPr>
      <w:r w:rsidRPr="004D4BC4">
        <w:t>size and condition of clients vein</w:t>
      </w:r>
    </w:p>
    <w:p w:rsidR="00000000" w:rsidRPr="004D4BC4" w:rsidP="004D4BC4">
      <w:pPr>
        <w:pStyle w:val="ListBullet2"/>
      </w:pPr>
      <w:r w:rsidRPr="004D4BC4">
        <w:t>use of non-dominant limb if possible</w:t>
      </w:r>
    </w:p>
    <w:p w:rsidR="00000000" w:rsidRPr="004D4BC4" w:rsidP="004D4BC4">
      <w:pPr>
        <w:pStyle w:val="ListBullet2"/>
      </w:pPr>
      <w:r w:rsidRPr="004D4BC4">
        <w:t xml:space="preserve">avoid the cephalic vein in clients with </w:t>
      </w:r>
      <w:r w:rsidRPr="004D4BC4">
        <w:t xml:space="preserve">chronic renal failure </w:t>
      </w:r>
    </w:p>
    <w:p w:rsidR="00000000" w:rsidRPr="004D4BC4" w:rsidP="004D4BC4">
      <w:pPr>
        <w:pStyle w:val="ListBullet2"/>
      </w:pPr>
      <w:r w:rsidRPr="004D4BC4">
        <w:t>expected duration of the in-situ intravenous cannula</w:t>
      </w:r>
    </w:p>
    <w:p w:rsidR="00000000" w:rsidRPr="004D4BC4" w:rsidP="004D4BC4">
      <w:pPr>
        <w:pStyle w:val="ListBullet"/>
      </w:pPr>
      <w:r w:rsidRPr="004D4BC4">
        <w:t>identification of veins to avoid using for peripheral intravenous cannulation:</w:t>
      </w:r>
    </w:p>
    <w:p w:rsidR="00000000" w:rsidRPr="004D4BC4" w:rsidP="004D4BC4">
      <w:pPr>
        <w:pStyle w:val="ListBullet2"/>
      </w:pPr>
      <w:r w:rsidRPr="004D4BC4">
        <w:t>areas of flexion e.g. antecubital fossa or bony prominences</w:t>
      </w:r>
    </w:p>
    <w:p w:rsidR="00000000" w:rsidRPr="004D4BC4" w:rsidP="004D4BC4">
      <w:pPr>
        <w:pStyle w:val="ListBullet2"/>
      </w:pPr>
      <w:r w:rsidRPr="004D4BC4">
        <w:t>vein just below the previous cannulation site</w:t>
      </w:r>
    </w:p>
    <w:p w:rsidR="00000000" w:rsidRPr="004D4BC4" w:rsidP="004D4BC4">
      <w:pPr>
        <w:pStyle w:val="ListBullet2"/>
      </w:pPr>
      <w:r w:rsidRPr="004D4BC4">
        <w:t>bruised or phlebitis areas</w:t>
      </w:r>
    </w:p>
    <w:p w:rsidR="00000000" w:rsidRPr="004D4BC4" w:rsidP="004D4BC4">
      <w:pPr>
        <w:pStyle w:val="ListBullet2"/>
      </w:pPr>
      <w:r w:rsidRPr="004D4BC4">
        <w:t>areas of poor venous return</w:t>
      </w:r>
    </w:p>
    <w:p w:rsidR="00000000" w:rsidRPr="004D4BC4" w:rsidP="004D4BC4">
      <w:pPr>
        <w:pStyle w:val="ListBullet2"/>
      </w:pPr>
      <w:r w:rsidRPr="004D4BC4">
        <w:t>limb with arteriovenous fistulae or shunt</w:t>
      </w:r>
    </w:p>
    <w:p w:rsidR="00000000" w:rsidRPr="004D4BC4" w:rsidP="004D4BC4">
      <w:pPr>
        <w:pStyle w:val="ListBullet2"/>
      </w:pPr>
      <w:r w:rsidRPr="004D4BC4">
        <w:t>infected limb e.g. cellulitis</w:t>
      </w:r>
    </w:p>
    <w:p w:rsidR="00000000" w:rsidRPr="004D4BC4" w:rsidP="004D4BC4">
      <w:pPr>
        <w:pStyle w:val="ListBullet2"/>
      </w:pPr>
      <w:r w:rsidRPr="004D4BC4">
        <w:t>arm on the same side as a previous lymph node dissection, mastectomy or affected by</w:t>
      </w:r>
      <w:r w:rsidRPr="004D4BC4">
        <w:t xml:space="preserve"> a cerebrovascular accident</w:t>
      </w:r>
    </w:p>
    <w:p w:rsidR="00000000" w:rsidRPr="004D4BC4" w:rsidP="004D4BC4">
      <w:pPr>
        <w:pStyle w:val="ListBullet2"/>
      </w:pPr>
      <w:r w:rsidRPr="004D4BC4">
        <w:t xml:space="preserve">limb with an implanted venous access device </w:t>
      </w:r>
    </w:p>
    <w:p w:rsidR="00000000" w:rsidRPr="004D4BC4" w:rsidP="004D4BC4">
      <w:pPr>
        <w:pStyle w:val="ListBullet2"/>
      </w:pPr>
      <w:r w:rsidRPr="004D4BC4">
        <w:t xml:space="preserve">if surgical procedure is required on limb </w:t>
      </w:r>
    </w:p>
    <w:p w:rsidR="00000000" w:rsidRPr="004D4BC4" w:rsidP="004D4BC4">
      <w:pPr>
        <w:pStyle w:val="ListBullet"/>
      </w:pPr>
      <w:r w:rsidRPr="004D4BC4">
        <w:t>basic medical terminology used in peripheral vascular cannulation and pathology laboratory requests</w:t>
      </w:r>
    </w:p>
    <w:p w:rsidR="00000000" w:rsidRPr="004D4BC4" w:rsidP="004D4BC4">
      <w:pPr>
        <w:pStyle w:val="ListBullet"/>
      </w:pPr>
      <w:r w:rsidRPr="004D4BC4">
        <w:t>factors which may affect the chemical a</w:t>
      </w:r>
      <w:r w:rsidRPr="004D4BC4">
        <w:t>nalysis of blood collected from an in-situ peripheral intravenous cannula:</w:t>
      </w:r>
    </w:p>
    <w:p w:rsidR="00000000" w:rsidRPr="004D4BC4" w:rsidP="004D4BC4">
      <w:pPr>
        <w:pStyle w:val="ListBullet2"/>
      </w:pPr>
      <w:r w:rsidRPr="004D4BC4">
        <w:t>appropriate times to collect</w:t>
      </w:r>
    </w:p>
    <w:p w:rsidR="00000000" w:rsidRPr="004D4BC4" w:rsidP="004D4BC4">
      <w:pPr>
        <w:pStyle w:val="ListBullet2"/>
      </w:pPr>
      <w:r w:rsidRPr="004D4BC4">
        <w:t>impact of drugs</w:t>
      </w:r>
    </w:p>
    <w:p w:rsidR="00000000" w:rsidRPr="004D4BC4" w:rsidP="004D4BC4">
      <w:pPr>
        <w:pStyle w:val="ListBullet2"/>
      </w:pPr>
      <w:r w:rsidRPr="004D4BC4">
        <w:t>timing of last dose</w:t>
      </w:r>
    </w:p>
    <w:p w:rsidR="00000000" w:rsidRPr="004D4BC4" w:rsidP="004D4BC4">
      <w:pPr>
        <w:pStyle w:val="ListBullet2"/>
      </w:pPr>
      <w:r w:rsidRPr="004D4BC4">
        <w:t>required fasting times</w:t>
      </w:r>
    </w:p>
    <w:p w:rsidR="00000000" w:rsidRPr="004D4BC4" w:rsidP="004D4BC4">
      <w:pPr>
        <w:pStyle w:val="ListBullet2"/>
      </w:pPr>
      <w:r w:rsidRPr="004D4BC4">
        <w:t>protecting the integrity of the specimen</w:t>
      </w:r>
    </w:p>
    <w:p w:rsidR="00000000" w:rsidRPr="004D4BC4" w:rsidP="004D4BC4">
      <w:pPr>
        <w:pStyle w:val="ListBullet"/>
      </w:pPr>
      <w:r w:rsidRPr="004D4BC4">
        <w:t>how to position client for comfort and adjust chair or bed to reduce practitioners WHS risk factors associated with poor posture during repetitive tasks</w:t>
      </w:r>
    </w:p>
    <w:p w:rsidR="00000000" w:rsidRPr="004D4BC4" w:rsidP="004D4BC4">
      <w:pPr>
        <w:pStyle w:val="ListBullet"/>
      </w:pPr>
      <w:r w:rsidRPr="004D4BC4">
        <w:t xml:space="preserve">clinical applications for sizes (gauge) of cannula required, selection should take into account: </w:t>
      </w:r>
    </w:p>
    <w:p w:rsidR="00000000" w:rsidRPr="004D4BC4" w:rsidP="004D4BC4">
      <w:pPr>
        <w:pStyle w:val="ListBullet2"/>
      </w:pPr>
      <w:r w:rsidRPr="004D4BC4">
        <w:t>prev</w:t>
      </w:r>
      <w:r w:rsidRPr="004D4BC4">
        <w:t xml:space="preserve">ious cannulation sites </w:t>
      </w:r>
    </w:p>
    <w:p w:rsidR="00000000" w:rsidRPr="004D4BC4" w:rsidP="004D4BC4">
      <w:pPr>
        <w:pStyle w:val="ListBullet2"/>
      </w:pPr>
      <w:r w:rsidRPr="004D4BC4">
        <w:t>age of patient e.g. neonates, children and the older person</w:t>
      </w:r>
    </w:p>
    <w:p w:rsidR="00000000" w:rsidRPr="004D4BC4" w:rsidP="004D4BC4">
      <w:pPr>
        <w:pStyle w:val="ListBullet2"/>
      </w:pPr>
      <w:r w:rsidRPr="004D4BC4">
        <w:t xml:space="preserve">purpose of peripheral intravenous cannula: </w:t>
      </w:r>
    </w:p>
    <w:p w:rsidR="00000000" w:rsidRPr="004D4BC4" w:rsidP="004D4BC4">
      <w:pPr>
        <w:pStyle w:val="ListBullet3"/>
      </w:pPr>
      <w:r w:rsidRPr="004D4BC4">
        <w:t>rapid transfusion</w:t>
      </w:r>
    </w:p>
    <w:p w:rsidR="00000000" w:rsidRPr="004D4BC4" w:rsidP="004D4BC4">
      <w:pPr>
        <w:pStyle w:val="ListBullet3"/>
      </w:pPr>
      <w:r w:rsidRPr="004D4BC4">
        <w:t>intravenous fluids</w:t>
      </w:r>
    </w:p>
    <w:p w:rsidR="00000000" w:rsidRPr="004D4BC4" w:rsidP="004D4BC4">
      <w:pPr>
        <w:pStyle w:val="ListBullet3"/>
      </w:pPr>
      <w:r w:rsidRPr="004D4BC4">
        <w:t>long term medication</w:t>
      </w:r>
    </w:p>
    <w:p w:rsidR="00000000" w:rsidRPr="004D4BC4" w:rsidP="004D4BC4">
      <w:pPr>
        <w:pStyle w:val="ListBullet"/>
      </w:pPr>
      <w:r w:rsidRPr="004D4BC4">
        <w:t>care and maintenance of peripheral intravenous cannula in- situ</w:t>
      </w:r>
    </w:p>
    <w:p w:rsidR="00000000" w:rsidRPr="004D4BC4" w:rsidP="004D4BC4">
      <w:pPr>
        <w:pStyle w:val="ListBullet"/>
      </w:pPr>
      <w:r w:rsidRPr="004D4BC4">
        <w:t>complications associated with peripheral intravenous cannulation:</w:t>
      </w:r>
    </w:p>
    <w:p w:rsidR="00000000" w:rsidRPr="004D4BC4" w:rsidP="004D4BC4">
      <w:pPr>
        <w:pStyle w:val="ListBullet2"/>
      </w:pPr>
      <w:r w:rsidRPr="004D4BC4">
        <w:t>occlusion</w:t>
      </w:r>
    </w:p>
    <w:p w:rsidR="00000000" w:rsidRPr="004D4BC4" w:rsidP="004D4BC4">
      <w:pPr>
        <w:pStyle w:val="ListBullet2"/>
      </w:pPr>
      <w:r w:rsidRPr="004D4BC4">
        <w:t>infection</w:t>
      </w:r>
    </w:p>
    <w:p w:rsidR="00000000" w:rsidRPr="004D4BC4" w:rsidP="004D4BC4">
      <w:pPr>
        <w:pStyle w:val="ListBullet2"/>
      </w:pPr>
      <w:r w:rsidRPr="004D4BC4">
        <w:t>phlebitis</w:t>
      </w:r>
    </w:p>
    <w:p w:rsidR="00000000" w:rsidRPr="004D4BC4" w:rsidP="004D4BC4">
      <w:pPr>
        <w:pStyle w:val="ListBullet2"/>
      </w:pPr>
      <w:r w:rsidRPr="004D4BC4">
        <w:t>rupture</w:t>
      </w:r>
    </w:p>
    <w:p w:rsidR="00000000" w:rsidRPr="004D4BC4" w:rsidP="004D4BC4">
      <w:pPr>
        <w:pStyle w:val="ListBullet2"/>
      </w:pPr>
      <w:r w:rsidRPr="004D4BC4">
        <w:t>migration</w:t>
      </w:r>
    </w:p>
    <w:p w:rsidR="00000000" w:rsidRPr="004D4BC4" w:rsidP="004D4BC4">
      <w:pPr>
        <w:pStyle w:val="ListBullet2"/>
      </w:pPr>
      <w:r w:rsidRPr="004D4BC4">
        <w:t>extravasation</w:t>
      </w:r>
    </w:p>
    <w:p w:rsidR="00000000" w:rsidRPr="004D4BC4" w:rsidP="004D4BC4">
      <w:pPr>
        <w:pStyle w:val="ListBullet2"/>
      </w:pPr>
      <w:r w:rsidRPr="004D4BC4">
        <w:t>unsuccessful cannulation attempt, client discomfort or distress</w:t>
      </w:r>
    </w:p>
    <w:p w:rsidR="00000000" w:rsidRPr="004D4BC4" w:rsidP="004D4BC4">
      <w:pPr>
        <w:pStyle w:val="ListBullet"/>
      </w:pPr>
      <w:r w:rsidRPr="004D4BC4">
        <w:t xml:space="preserve">how to safely use equipment associated with peripheral intravenous cannulation: </w:t>
      </w:r>
    </w:p>
    <w:p w:rsidR="00000000" w:rsidRPr="004D4BC4" w:rsidP="004D4BC4">
      <w:pPr>
        <w:pStyle w:val="ListBullet2"/>
      </w:pPr>
      <w:r w:rsidRPr="004D4BC4">
        <w:t>tourniquet and/or blood pressure cuff</w:t>
      </w:r>
    </w:p>
    <w:p w:rsidR="00000000" w:rsidRPr="004D4BC4" w:rsidP="004D4BC4">
      <w:pPr>
        <w:pStyle w:val="ListBullet2"/>
      </w:pPr>
      <w:r w:rsidRPr="004D4BC4">
        <w:t>chlorhexidine and alcohol swabs</w:t>
      </w:r>
    </w:p>
    <w:p w:rsidR="00000000" w:rsidRPr="004D4BC4" w:rsidP="004D4BC4">
      <w:pPr>
        <w:pStyle w:val="ListBullet2"/>
      </w:pPr>
      <w:r w:rsidRPr="004D4BC4">
        <w:t>peripheral intravenous cannula</w:t>
      </w:r>
    </w:p>
    <w:p w:rsidR="00000000" w:rsidRPr="004D4BC4" w:rsidP="004D4BC4">
      <w:pPr>
        <w:pStyle w:val="ListBullet2"/>
      </w:pPr>
      <w:r w:rsidRPr="004D4BC4">
        <w:t>local anaesthetic cream and dressings</w:t>
      </w:r>
    </w:p>
    <w:p w:rsidR="00000000" w:rsidRPr="004D4BC4" w:rsidP="004D4BC4">
      <w:pPr>
        <w:pStyle w:val="ListBullet2"/>
      </w:pPr>
      <w:r w:rsidRPr="004D4BC4">
        <w:t xml:space="preserve">extension set and/or three-way tap </w:t>
      </w:r>
      <w:r w:rsidRPr="004D4BC4">
        <w:t>device &amp; bung associated with intravenous therapy</w:t>
      </w:r>
    </w:p>
    <w:p w:rsidR="00000000" w:rsidRPr="004D4BC4" w:rsidP="004D4BC4">
      <w:pPr>
        <w:pStyle w:val="ListBullet2"/>
      </w:pPr>
      <w:r w:rsidRPr="004D4BC4">
        <w:t>flushing in-situ cannula with syringe</w:t>
      </w:r>
    </w:p>
    <w:p w:rsidR="00000000" w:rsidRPr="004D4BC4" w:rsidP="004D4BC4">
      <w:pPr>
        <w:pStyle w:val="ListBullet"/>
      </w:pPr>
      <w:r w:rsidRPr="004D4BC4">
        <w:t>pre-collection criteria when peripheral intravenous cannulation is for the purpose of collecting blood including:</w:t>
      </w:r>
    </w:p>
    <w:p w:rsidR="00000000" w:rsidRPr="004D4BC4" w:rsidP="004D4BC4">
      <w:pPr>
        <w:pStyle w:val="ListBullet2"/>
      </w:pPr>
      <w:r w:rsidRPr="004D4BC4">
        <w:t>fasting and/or dietary restrictions</w:t>
      </w:r>
    </w:p>
    <w:p w:rsidR="00000000" w:rsidRPr="004D4BC4" w:rsidP="004D4BC4">
      <w:pPr>
        <w:pStyle w:val="ListBullet2"/>
      </w:pPr>
      <w:r w:rsidRPr="004D4BC4">
        <w:t>drug therapies administered to client</w:t>
      </w:r>
    </w:p>
    <w:p w:rsidR="00000000" w:rsidRPr="004D4BC4" w:rsidP="004D4BC4">
      <w:pPr>
        <w:pStyle w:val="ListBullet2"/>
      </w:pPr>
      <w:r w:rsidRPr="004D4BC4">
        <w:t>physical health status of client</w:t>
      </w:r>
    </w:p>
    <w:p w:rsidR="00000000" w:rsidRPr="004D4BC4" w:rsidP="004D4BC4">
      <w:pPr>
        <w:pStyle w:val="ListBullet2"/>
      </w:pPr>
      <w:r w:rsidRPr="004D4BC4">
        <w:t>referral of client to an appropriate health professional if pre-criteria is not met prior to cannulation</w:t>
      </w:r>
    </w:p>
    <w:p w:rsidR="00000000" w:rsidRPr="004D4BC4" w:rsidP="004D4BC4">
      <w:pPr>
        <w:pStyle w:val="AllowPageBreak"/>
      </w:pPr>
    </w:p>
    <w:p w:rsidR="00000000" w:rsidRPr="004D4BC4" w:rsidP="004D4BC4">
      <w:pPr>
        <w:pStyle w:val="Heading1"/>
      </w:pPr>
      <w:bookmarkStart w:id="10" w:name="O_743668"/>
      <w:bookmarkEnd w:id="10"/>
      <w:r w:rsidRPr="004D4BC4">
        <w:t>Assessment Conditions</w:t>
      </w:r>
    </w:p>
    <w:p w:rsidR="00000000" w:rsidRPr="004D4BC4" w:rsidP="00936872">
      <w:pPr>
        <w:pStyle w:val="BodyText"/>
      </w:pPr>
      <w:r w:rsidRPr="004D4BC4">
        <w:t>Skills must have been demonstrated in the</w:t>
      </w:r>
      <w:r w:rsidRPr="004D4BC4">
        <w:t xml:space="preserve"> workplace with the addition of simulations and scenarios where the full range of contexts and situations has not been provided in the workplace. The following aspects of the performance evidence must have been demonstrated using simulation prior to demons</w:t>
      </w:r>
      <w:r w:rsidRPr="004D4BC4">
        <w:t xml:space="preserve">tration in the </w:t>
      </w:r>
      <w:r w:rsidRPr="004D4BC4">
        <w:t>workplace or with members of the general public and where state/territory legislation prevents this occurring:</w:t>
      </w:r>
    </w:p>
    <w:p w:rsidR="00000000" w:rsidRPr="004D4BC4" w:rsidP="004D4BC4">
      <w:pPr>
        <w:pStyle w:val="ListBullet"/>
      </w:pPr>
      <w:r w:rsidRPr="004D4BC4">
        <w:t>prepared equipment and performed peripheral intravenous cannulation for 3 different clients according to manufacturer’s instructi</w:t>
      </w:r>
      <w:r w:rsidRPr="004D4BC4">
        <w:t xml:space="preserve">ons and organisation procedures </w:t>
      </w:r>
    </w:p>
    <w:p w:rsidR="00000000" w:rsidRPr="004D4BC4" w:rsidP="004D4BC4">
      <w:pPr>
        <w:pStyle w:val="ListBullet"/>
      </w:pPr>
      <w:r w:rsidRPr="004D4BC4">
        <w:t>monitored 1 in-situ peripheral intravenous cannula, documenting assessment of the patency of the cannula and condition of the site</w:t>
      </w:r>
    </w:p>
    <w:p w:rsidR="00000000" w:rsidRPr="004D4BC4" w:rsidP="004D4BC4">
      <w:pPr>
        <w:pStyle w:val="ListBullet"/>
      </w:pPr>
      <w:r w:rsidRPr="004D4BC4">
        <w:t>safely removed 1 peripheral intravenous cannula from a client in accordance with organisatio</w:t>
      </w:r>
      <w:r w:rsidRPr="004D4BC4">
        <w:t>n procedures</w:t>
      </w:r>
    </w:p>
    <w:p w:rsidR="00000000" w:rsidRPr="004D4BC4" w:rsidP="004D4BC4">
      <w:pPr>
        <w:pStyle w:val="BodyText"/>
      </w:pPr>
    </w:p>
    <w:p w:rsidR="00000000" w:rsidRPr="004D4BC4" w:rsidP="00936872">
      <w:pPr>
        <w:pStyle w:val="BodyText"/>
      </w:pPr>
      <w:r w:rsidRPr="004D4BC4">
        <w:t>The following conditions must be met for this unit:</w:t>
      </w:r>
    </w:p>
    <w:p w:rsidR="00000000" w:rsidRPr="004D4BC4" w:rsidP="004D4BC4">
      <w:pPr>
        <w:pStyle w:val="ListBullet"/>
      </w:pPr>
      <w:r w:rsidRPr="004D4BC4">
        <w:t xml:space="preserve">use of suitable facilities, equipment and resources, including: </w:t>
      </w:r>
    </w:p>
    <w:p w:rsidR="00000000" w:rsidRPr="004D4BC4" w:rsidP="004D4BC4">
      <w:pPr>
        <w:pStyle w:val="ListBullet2"/>
      </w:pPr>
      <w:r w:rsidRPr="004D4BC4">
        <w:t xml:space="preserve">simulation learning equipment e.g. simulation limb suitable for peripheral intravenous cannulation </w:t>
      </w:r>
    </w:p>
    <w:p w:rsidR="00000000" w:rsidRPr="004D4BC4" w:rsidP="004D4BC4">
      <w:pPr>
        <w:pStyle w:val="ListBullet2"/>
      </w:pPr>
      <w:r w:rsidRPr="004D4BC4">
        <w:t>dressing pack for aseptic technique</w:t>
      </w:r>
    </w:p>
    <w:p w:rsidR="00000000" w:rsidRPr="004D4BC4" w:rsidP="004D4BC4">
      <w:pPr>
        <w:pStyle w:val="ListBullet2"/>
      </w:pPr>
      <w:r w:rsidRPr="004D4BC4">
        <w:t>solution for cleaning cannulation site</w:t>
      </w:r>
    </w:p>
    <w:p w:rsidR="00000000" w:rsidRPr="004D4BC4" w:rsidP="004D4BC4">
      <w:pPr>
        <w:pStyle w:val="ListBullet2"/>
      </w:pPr>
      <w:r w:rsidRPr="004D4BC4">
        <w:t>tape for securing cannula</w:t>
      </w:r>
    </w:p>
    <w:p w:rsidR="00000000" w:rsidRPr="004D4BC4" w:rsidP="004D4BC4">
      <w:pPr>
        <w:pStyle w:val="ListBullet2"/>
      </w:pPr>
      <w:r w:rsidRPr="004D4BC4">
        <w:t>suitable dressing to cover and allow visibility of entry site of cannula</w:t>
      </w:r>
    </w:p>
    <w:p w:rsidR="00000000" w:rsidRPr="004D4BC4" w:rsidP="004D4BC4">
      <w:pPr>
        <w:pStyle w:val="ListBullet2"/>
      </w:pPr>
      <w:r w:rsidRPr="004D4BC4">
        <w:t xml:space="preserve">peripheral intravenous cannulation equipment </w:t>
      </w:r>
    </w:p>
    <w:p w:rsidR="00000000" w:rsidRPr="004D4BC4" w:rsidP="004D4BC4">
      <w:pPr>
        <w:pStyle w:val="ListBullet2"/>
      </w:pPr>
      <w:r w:rsidRPr="004D4BC4">
        <w:t>personal protective equipment</w:t>
      </w:r>
    </w:p>
    <w:p w:rsidR="00000000" w:rsidRPr="004D4BC4" w:rsidP="004D4BC4">
      <w:pPr>
        <w:pStyle w:val="ListBullet2"/>
      </w:pPr>
      <w:r w:rsidRPr="004D4BC4">
        <w:t>clinic</w:t>
      </w:r>
      <w:r w:rsidRPr="004D4BC4">
        <w:t>al waste disposal equipment</w:t>
      </w:r>
    </w:p>
    <w:p w:rsidR="00000000" w:rsidRPr="004D4BC4" w:rsidP="004D4BC4">
      <w:pPr>
        <w:pStyle w:val="ListBullet2"/>
      </w:pPr>
      <w:r w:rsidRPr="004D4BC4">
        <w:t>tourniquet/blood pressure cuff</w:t>
      </w:r>
    </w:p>
    <w:p w:rsidR="00000000" w:rsidRPr="004D4BC4" w:rsidP="004D4BC4">
      <w:pPr>
        <w:pStyle w:val="ListBullet2"/>
      </w:pPr>
      <w:r w:rsidRPr="004D4BC4">
        <w:t>organisation procedure used in the planning of the procedure</w:t>
      </w:r>
    </w:p>
    <w:p w:rsidR="00000000" w:rsidRPr="004D4BC4" w:rsidP="004D4BC4">
      <w:pPr>
        <w:pStyle w:val="BodyText"/>
      </w:pPr>
    </w:p>
    <w:p w:rsidR="00000000" w:rsidRPr="004D4BC4" w:rsidP="00936872">
      <w:pPr>
        <w:pStyle w:val="BodyText"/>
      </w:pPr>
      <w:r w:rsidRPr="004D4BC4">
        <w:t>Assessors must satisfy the Standards for Registered Training Organisations (RTOs) 2015/AQTF mandatory competency requirements for assessors.</w:t>
      </w:r>
    </w:p>
    <w:p w:rsidR="00000000" w:rsidRPr="004D4BC4" w:rsidP="004D4BC4">
      <w:pPr>
        <w:pStyle w:val="Heading1"/>
      </w:pPr>
      <w:bookmarkStart w:id="11" w:name="O_743671"/>
      <w:bookmarkEnd w:id="11"/>
      <w:r w:rsidRPr="004D4BC4">
        <w:t>Links</w:t>
      </w:r>
    </w:p>
    <w:p w:rsidR="00000000" w:rsidRPr="004D4BC4" w:rsidP="00936872">
      <w:pPr>
        <w:pStyle w:val="BodyText"/>
      </w:pPr>
      <w:r w:rsidRPr="004D4BC4">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A16F0F">
        <w:rPr>
          <w:rStyle w:val="Hyperlink"/>
        </w:rPr>
        <w:t>https://vetnet.gov.au/Pages/TrainingDocs.aspx?q=ced1390f-48d9-4ab0-bd50-b015e5485705</w:t>
      </w:r>
      <w:r>
        <w:fldChar w:fldCharType="end"/>
      </w:r>
    </w:p>
    <w:p w:rsidR="00000000" w:rsidRPr="004D4BC4" w:rsidP="004D4BC4"/>
    <w:sectPr w:rsidSect="004D4BC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4BC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4BC4" w:rsidRPr="00936872" w:rsidP="0093687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4BC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6872" w:rsidP="004D4BC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36872" w:rsidP="004D4BC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936872" w:rsidP="004D4BC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4BC4" w:rsidP="004D4BC4">
    <w:pPr>
      <w:pStyle w:val="Footer"/>
      <w:framePr w:wrap="around"/>
    </w:pPr>
    <w:r>
      <w:fldChar w:fldCharType="begin"/>
    </w:r>
    <w:r>
      <w:instrText xml:space="preserve"> DOCPROPERTY  Subject  \* MERGEFORMAT </w:instrText>
    </w:r>
    <w:r>
      <w:fldChar w:fldCharType="separate"/>
    </w:r>
    <w:r w:rsidR="00936872">
      <w:t>Approved</w:t>
    </w:r>
    <w:r w:rsidR="00936872">
      <w:fldChar w:fldCharType="end"/>
    </w:r>
    <w:r>
      <w:tab/>
      <w:t xml:space="preserve">Page </w:t>
    </w:r>
    <w:r>
      <w:fldChar w:fldCharType="begin"/>
    </w:r>
    <w:r>
      <w:instrText xml:space="preserve"> PAGE  \* Arabic  \* MERGEFORMAT </w:instrText>
    </w:r>
    <w:r>
      <w:fldChar w:fldCharType="separate"/>
    </w:r>
    <w:r w:rsidR="0093687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36872">
      <w:rPr>
        <w:noProof/>
      </w:rPr>
      <w:t>5</w:t>
    </w:r>
    <w:r>
      <w:rPr>
        <w:noProof/>
      </w:rPr>
      <w:fldChar w:fldCharType="end"/>
    </w:r>
  </w:p>
  <w:p w:rsidR="004D4BC4" w:rsidP="004D4BC4">
    <w:pPr>
      <w:pStyle w:val="Footer"/>
      <w:framePr w:wrap="around"/>
    </w:pPr>
    <w:r>
      <w:t xml:space="preserve">© Commonwealth of Australia, </w:t>
    </w:r>
    <w:r>
      <w:fldChar w:fldCharType="begin"/>
    </w:r>
    <w:r>
      <w:instrText xml:space="preserve"> DATE  \@ "yyyy"  \* MERGEFORMAT </w:instrText>
    </w:r>
    <w:r>
      <w:fldChar w:fldCharType="separate"/>
    </w:r>
    <w:r w:rsidR="00936872">
      <w:rPr>
        <w:noProof/>
      </w:rPr>
      <w:t>2025</w:t>
    </w:r>
    <w:r>
      <w:fldChar w:fldCharType="end"/>
    </w:r>
    <w:r>
      <w:tab/>
    </w:r>
    <w:r>
      <w:fldChar w:fldCharType="begin"/>
    </w:r>
    <w:r>
      <w:instrText xml:space="preserve"> DOCPROPERTY  Author  \* MERGEFORMAT </w:instrText>
    </w:r>
    <w:r>
      <w:fldChar w:fldCharType="separate"/>
    </w:r>
    <w:r w:rsidR="00936872">
      <w:t>HumanAbility</w:t>
    </w:r>
    <w:r w:rsidR="00936872">
      <w:fldChar w:fldCharType="end"/>
    </w:r>
  </w:p>
  <w:p w:rsidR="004D4BC4" w:rsidP="004D4BC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4BC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687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D4BC4" w:rsidRPr="00936872" w:rsidP="0093687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4BC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6872" w:rsidRPr="002D2AF8" w:rsidP="004D4BC4">
    <w:pPr>
      <w:pStyle w:val="Header"/>
      <w:framePr w:wrap="around"/>
    </w:pPr>
    <w:r>
      <w:fldChar w:fldCharType="begin"/>
    </w:r>
    <w:r>
      <w:instrText xml:space="preserve"> TITLE   \* MERGEFORMAT </w:instrText>
    </w:r>
    <w:r>
      <w:fldChar w:fldCharType="separate"/>
    </w:r>
    <w:r>
      <w:t>HLTHPS009 Perform peripheral intravenous cannulation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36872" w:rsidP="004D4BC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4BC4" w:rsidRPr="002D2AF8" w:rsidP="004D4BC4">
    <w:pPr>
      <w:pStyle w:val="Header"/>
      <w:framePr w:wrap="around"/>
    </w:pPr>
    <w:r>
      <w:fldChar w:fldCharType="begin"/>
    </w:r>
    <w:r>
      <w:instrText xml:space="preserve"> TITLE   \* MERGEFORMAT </w:instrText>
    </w:r>
    <w:r>
      <w:fldChar w:fldCharType="separate"/>
    </w:r>
    <w:r w:rsidR="00936872">
      <w:t>HLTHPS009 Perform peripheral intravenous cannulation</w:t>
    </w:r>
    <w:r w:rsidR="00936872">
      <w:fldChar w:fldCharType="end"/>
    </w:r>
    <w:r>
      <w:tab/>
      <w:t xml:space="preserve">Date this document was generated: </w:t>
    </w:r>
    <w:r>
      <w:fldChar w:fldCharType="begin"/>
    </w:r>
    <w:r>
      <w:instrText xml:space="preserve"> CREATEDATE  \@ "d MMMM yyyy"  \* MERGEFORMAT </w:instrText>
    </w:r>
    <w:r>
      <w:fldChar w:fldCharType="separate"/>
    </w:r>
    <w:r w:rsidR="00936872">
      <w:rPr>
        <w:noProof/>
      </w:rPr>
      <w:t>2 March 2025</w:t>
    </w:r>
    <w:r>
      <w:fldChar w:fldCharType="end"/>
    </w:r>
  </w:p>
  <w:p w:rsidR="004D4BC4" w:rsidP="004D4BC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BAEE3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1C0B09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1A48CB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unhideWhenUsed="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4BC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D4BC4"/>
    <w:pPr>
      <w:spacing w:before="360" w:after="60"/>
      <w:outlineLvl w:val="0"/>
    </w:pPr>
    <w:rPr>
      <w:sz w:val="32"/>
    </w:rPr>
  </w:style>
  <w:style w:type="paragraph" w:styleId="Heading2">
    <w:name w:val="heading 2"/>
    <w:basedOn w:val="HeadingBase"/>
    <w:next w:val="BodyText"/>
    <w:link w:val="Heading2Char"/>
    <w:qFormat/>
    <w:rsid w:val="004D4BC4"/>
    <w:pPr>
      <w:keepLines/>
      <w:spacing w:before="240" w:after="120"/>
      <w:outlineLvl w:val="1"/>
    </w:pPr>
    <w:rPr>
      <w:sz w:val="28"/>
      <w:szCs w:val="40"/>
    </w:rPr>
  </w:style>
  <w:style w:type="paragraph" w:styleId="Heading3">
    <w:name w:val="heading 3"/>
    <w:basedOn w:val="HeadingBase"/>
    <w:next w:val="BodyText"/>
    <w:link w:val="Heading3Char"/>
    <w:qFormat/>
    <w:rsid w:val="004D4BC4"/>
    <w:pPr>
      <w:spacing w:before="180" w:after="120"/>
      <w:outlineLvl w:val="2"/>
    </w:pPr>
    <w:rPr>
      <w:spacing w:val="-10"/>
      <w:kern w:val="32"/>
    </w:rPr>
  </w:style>
  <w:style w:type="paragraph" w:styleId="Heading4">
    <w:name w:val="heading 4"/>
    <w:basedOn w:val="HeadingBase"/>
    <w:next w:val="BodyText"/>
    <w:link w:val="Heading4Char"/>
    <w:qFormat/>
    <w:rsid w:val="004D4BC4"/>
    <w:pPr>
      <w:spacing w:before="160" w:after="120"/>
      <w:outlineLvl w:val="3"/>
    </w:pPr>
    <w:rPr>
      <w:sz w:val="22"/>
    </w:rPr>
  </w:style>
  <w:style w:type="paragraph" w:styleId="Heading5">
    <w:name w:val="heading 5"/>
    <w:basedOn w:val="HeadingBase"/>
    <w:next w:val="Normal"/>
    <w:link w:val="Heading5Char"/>
    <w:qFormat/>
    <w:rsid w:val="004D4BC4"/>
    <w:pPr>
      <w:spacing w:before="80"/>
      <w:outlineLvl w:val="4"/>
    </w:pPr>
    <w:rPr>
      <w:color w:val="918585"/>
      <w:sz w:val="20"/>
    </w:rPr>
  </w:style>
  <w:style w:type="paragraph" w:styleId="Heading6">
    <w:name w:val="heading 6"/>
    <w:basedOn w:val="HeadingBase"/>
    <w:next w:val="Normal"/>
    <w:link w:val="Heading6Char"/>
    <w:qFormat/>
    <w:rsid w:val="004D4BC4"/>
    <w:pPr>
      <w:spacing w:before="60"/>
      <w:outlineLvl w:val="5"/>
    </w:pPr>
    <w:rPr>
      <w:color w:val="918585"/>
      <w:sz w:val="20"/>
    </w:rPr>
  </w:style>
  <w:style w:type="paragraph" w:styleId="Heading7">
    <w:name w:val="heading 7"/>
    <w:basedOn w:val="Normal"/>
    <w:next w:val="Normal"/>
    <w:link w:val="Heading7Char"/>
    <w:qFormat/>
    <w:rsid w:val="004D4BC4"/>
    <w:pPr>
      <w:ind w:left="720"/>
      <w:outlineLvl w:val="6"/>
    </w:pPr>
    <w:rPr>
      <w:i/>
    </w:rPr>
  </w:style>
  <w:style w:type="paragraph" w:styleId="Heading8">
    <w:name w:val="heading 8"/>
    <w:basedOn w:val="Normal"/>
    <w:next w:val="Normal"/>
    <w:link w:val="Heading8Char"/>
    <w:qFormat/>
    <w:rsid w:val="004D4BC4"/>
    <w:pPr>
      <w:ind w:left="720"/>
      <w:outlineLvl w:val="7"/>
    </w:pPr>
    <w:rPr>
      <w:i/>
    </w:rPr>
  </w:style>
  <w:style w:type="paragraph" w:styleId="Heading9">
    <w:name w:val="heading 9"/>
    <w:basedOn w:val="Normal"/>
    <w:next w:val="Normal"/>
    <w:link w:val="Heading9Char"/>
    <w:qFormat/>
    <w:rsid w:val="004D4BC4"/>
    <w:pPr>
      <w:ind w:left="720"/>
      <w:outlineLvl w:val="8"/>
    </w:pPr>
    <w:rPr>
      <w:i/>
    </w:rPr>
  </w:style>
  <w:style w:type="character" w:default="1" w:styleId="DefaultParagraphFont">
    <w:name w:val="Default Paragraph Font"/>
    <w:uiPriority w:val="1"/>
    <w:unhideWhenUsed/>
    <w:rsid w:val="004D4BC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D4BC4"/>
  </w:style>
  <w:style w:type="character" w:customStyle="1" w:styleId="Heading1Char">
    <w:name w:val="Heading 1 Char"/>
    <w:basedOn w:val="DefaultParagraphFont"/>
    <w:link w:val="Heading1"/>
    <w:rsid w:val="004D4BC4"/>
    <w:rPr>
      <w:rFonts w:ascii="Times New Roman" w:eastAsia="Times New Roman" w:hAnsi="Times New Roman" w:cs="Times New Roman"/>
      <w:b/>
      <w:sz w:val="32"/>
      <w:szCs w:val="20"/>
      <w:lang w:eastAsia="en-US"/>
    </w:rPr>
  </w:style>
  <w:style w:type="paragraph" w:styleId="BodyText">
    <w:name w:val="Body Text"/>
    <w:basedOn w:val="Normal"/>
    <w:link w:val="BodyTextChar"/>
    <w:rsid w:val="004D4BC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D4BC4"/>
    <w:rPr>
      <w:rFonts w:ascii="Times New Roman" w:eastAsia="Times New Roman" w:hAnsi="Times New Roman" w:cs="Times New Roman"/>
      <w:sz w:val="24"/>
      <w:lang w:eastAsia="en-US"/>
    </w:rPr>
  </w:style>
  <w:style w:type="paragraph" w:styleId="ListBullet">
    <w:name w:val="List Bullet"/>
    <w:basedOn w:val="List"/>
    <w:rsid w:val="004D4BC4"/>
    <w:pPr>
      <w:numPr>
        <w:numId w:val="13"/>
      </w:numPr>
      <w:tabs>
        <w:tab w:val="clear" w:pos="340"/>
      </w:tabs>
      <w:spacing w:before="40" w:after="40"/>
    </w:pPr>
  </w:style>
  <w:style w:type="character" w:customStyle="1" w:styleId="SpecialBold">
    <w:name w:val="Special Bold"/>
    <w:basedOn w:val="DefaultParagraphFont"/>
    <w:rsid w:val="004D4BC4"/>
    <w:rPr>
      <w:b/>
      <w:spacing w:val="0"/>
    </w:rPr>
  </w:style>
  <w:style w:type="paragraph" w:styleId="ListBullet2">
    <w:name w:val="List Bullet 2"/>
    <w:basedOn w:val="List2"/>
    <w:rsid w:val="004D4BC4"/>
    <w:pPr>
      <w:numPr>
        <w:numId w:val="14"/>
      </w:numPr>
      <w:tabs>
        <w:tab w:val="clear" w:pos="680"/>
      </w:tabs>
    </w:pPr>
  </w:style>
  <w:style w:type="character" w:styleId="Emphasis">
    <w:name w:val="Emphasis"/>
    <w:basedOn w:val="DefaultParagraphFont"/>
    <w:qFormat/>
    <w:rsid w:val="004D4BC4"/>
    <w:rPr>
      <w:i/>
    </w:rPr>
  </w:style>
  <w:style w:type="paragraph" w:customStyle="1" w:styleId="SuperHeading">
    <w:name w:val="SuperHeading"/>
    <w:basedOn w:val="Normal"/>
    <w:rsid w:val="004D4BC4"/>
    <w:pPr>
      <w:spacing w:before="240" w:after="120"/>
      <w:outlineLvl w:val="0"/>
    </w:pPr>
    <w:rPr>
      <w:rFonts w:ascii="Times New Roman" w:hAnsi="Times New Roman"/>
      <w:b/>
      <w:sz w:val="32"/>
    </w:rPr>
  </w:style>
  <w:style w:type="paragraph" w:customStyle="1" w:styleId="AllowPageBreak">
    <w:name w:val="AllowPageBreak"/>
    <w:rsid w:val="004D4BC4"/>
    <w:pPr>
      <w:widowControl w:val="0"/>
      <w:spacing w:after="0" w:line="240" w:lineRule="auto"/>
    </w:pPr>
    <w:rPr>
      <w:rFonts w:ascii="Times New Roman" w:eastAsia="Times New Roman" w:hAnsi="Times New Roman" w:cs="Times New Roman"/>
      <w:noProof/>
      <w:sz w:val="2"/>
      <w:szCs w:val="20"/>
      <w:lang w:eastAsia="en-US"/>
    </w:rPr>
  </w:style>
  <w:style w:type="paragraph" w:styleId="ListContinue">
    <w:name w:val="List Continue"/>
    <w:basedOn w:val="List"/>
    <w:rsid w:val="004D4BC4"/>
    <w:pPr>
      <w:ind w:firstLine="0"/>
    </w:pPr>
  </w:style>
  <w:style w:type="paragraph" w:styleId="ListBullet3">
    <w:name w:val="List Bullet 3"/>
    <w:basedOn w:val="List3"/>
    <w:rsid w:val="004D4BC4"/>
    <w:pPr>
      <w:numPr>
        <w:numId w:val="3"/>
      </w:numPr>
      <w:tabs>
        <w:tab w:val="clear" w:pos="1021"/>
      </w:tabs>
      <w:ind w:left="1037" w:hanging="357"/>
    </w:pPr>
  </w:style>
  <w:style w:type="character" w:customStyle="1" w:styleId="Heading2Char">
    <w:name w:val="Heading 2 Char"/>
    <w:basedOn w:val="DefaultParagraphFont"/>
    <w:link w:val="Heading2"/>
    <w:rsid w:val="004D4BC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D4BC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D4BC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D4BC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D4BC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D4BC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D4BC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D4BC4"/>
    <w:rPr>
      <w:rFonts w:ascii="Courier New" w:eastAsia="Times New Roman" w:hAnsi="Courier New" w:cs="Times New Roman"/>
      <w:i/>
      <w:szCs w:val="20"/>
      <w:lang w:eastAsia="en-US"/>
    </w:rPr>
  </w:style>
  <w:style w:type="paragraph" w:customStyle="1" w:styleId="HeadingBase">
    <w:name w:val="Heading Base"/>
    <w:rsid w:val="004D4BC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D4BC4"/>
    <w:pPr>
      <w:tabs>
        <w:tab w:val="right" w:leader="dot" w:pos="9072"/>
      </w:tabs>
      <w:ind w:left="567"/>
    </w:pPr>
    <w:rPr>
      <w:szCs w:val="22"/>
    </w:rPr>
  </w:style>
  <w:style w:type="paragraph" w:customStyle="1" w:styleId="TOCBase">
    <w:name w:val="TOC Base"/>
    <w:rsid w:val="004D4BC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D4BC4"/>
    <w:pPr>
      <w:tabs>
        <w:tab w:val="right" w:leader="dot" w:pos="9072"/>
      </w:tabs>
      <w:spacing w:before="40" w:after="40"/>
      <w:ind w:left="284"/>
    </w:pPr>
    <w:rPr>
      <w:rFonts w:ascii="Times New Roman" w:hAnsi="Times New Roman"/>
    </w:rPr>
  </w:style>
  <w:style w:type="paragraph" w:styleId="TOC1">
    <w:name w:val="toc 1"/>
    <w:basedOn w:val="TOCBase"/>
    <w:next w:val="Normal"/>
    <w:rsid w:val="004D4BC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D4BC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D4BC4"/>
    <w:rPr>
      <w:rFonts w:ascii="Times New Roman" w:eastAsia="Times New Roman" w:hAnsi="Times New Roman" w:cs="Times New Roman"/>
      <w:sz w:val="16"/>
      <w:lang w:eastAsia="en-US"/>
    </w:rPr>
  </w:style>
  <w:style w:type="paragraph" w:styleId="Title">
    <w:name w:val="Title"/>
    <w:basedOn w:val="HeadingBase"/>
    <w:link w:val="TitleChar"/>
    <w:qFormat/>
    <w:rsid w:val="004D4BC4"/>
    <w:pPr>
      <w:spacing w:before="5040"/>
      <w:jc w:val="center"/>
    </w:pPr>
    <w:rPr>
      <w:sz w:val="48"/>
      <w:szCs w:val="72"/>
      <w:lang w:val="en-US"/>
    </w:rPr>
  </w:style>
  <w:style w:type="character" w:customStyle="1" w:styleId="TitleChar">
    <w:name w:val="Title Char"/>
    <w:basedOn w:val="DefaultParagraphFont"/>
    <w:link w:val="Title"/>
    <w:rsid w:val="004D4BC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D4BC4"/>
    <w:pPr>
      <w:tabs>
        <w:tab w:val="left" w:pos="3600"/>
        <w:tab w:val="left" w:pos="3958"/>
      </w:tabs>
    </w:pPr>
  </w:style>
  <w:style w:type="paragraph" w:styleId="List">
    <w:name w:val="List"/>
    <w:basedOn w:val="BodyText"/>
    <w:next w:val="BodyText"/>
    <w:rsid w:val="004D4BC4"/>
    <w:pPr>
      <w:tabs>
        <w:tab w:val="left" w:pos="340"/>
      </w:tabs>
      <w:spacing w:before="60" w:after="60"/>
      <w:ind w:left="340" w:hanging="340"/>
    </w:pPr>
  </w:style>
  <w:style w:type="paragraph" w:customStyle="1" w:styleId="Note">
    <w:name w:val="Note"/>
    <w:basedOn w:val="BodyText"/>
    <w:rsid w:val="004D4BC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D4BC4"/>
    <w:pPr>
      <w:framePr w:wrap="auto" w:hAnchor="text" w:y="6049"/>
    </w:pPr>
    <w:rPr>
      <w:color w:val="000000"/>
      <w:sz w:val="40"/>
    </w:rPr>
  </w:style>
  <w:style w:type="paragraph" w:customStyle="1" w:styleId="TOCTitle">
    <w:name w:val="TOCTitle"/>
    <w:basedOn w:val="Heading1"/>
    <w:rsid w:val="004D4BC4"/>
    <w:pPr>
      <w:spacing w:after="240"/>
      <w:jc w:val="center"/>
      <w:outlineLvl w:val="9"/>
    </w:pPr>
    <w:rPr>
      <w:caps/>
    </w:rPr>
  </w:style>
  <w:style w:type="paragraph" w:customStyle="1" w:styleId="Version">
    <w:name w:val="Version"/>
    <w:rsid w:val="004D4BC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D4BC4"/>
    <w:pPr>
      <w:keepNext w:val="0"/>
      <w:tabs>
        <w:tab w:val="right" w:pos="4176"/>
      </w:tabs>
      <w:ind w:left="198" w:hanging="198"/>
    </w:pPr>
    <w:rPr>
      <w:rFonts w:ascii="Garamond" w:hAnsi="Garamond"/>
    </w:rPr>
  </w:style>
  <w:style w:type="paragraph" w:styleId="IndexHeading">
    <w:name w:val="index heading"/>
    <w:basedOn w:val="Normal"/>
    <w:next w:val="Index1"/>
    <w:semiHidden/>
    <w:rsid w:val="004D4BC4"/>
    <w:pPr>
      <w:spacing w:before="120" w:after="120"/>
    </w:pPr>
    <w:rPr>
      <w:rFonts w:ascii="Arial" w:hAnsi="Arial"/>
      <w:b/>
      <w:color w:val="918585"/>
      <w:sz w:val="24"/>
    </w:rPr>
  </w:style>
  <w:style w:type="paragraph" w:styleId="Header">
    <w:name w:val="header"/>
    <w:basedOn w:val="Normal"/>
    <w:link w:val="HeaderChar"/>
    <w:rsid w:val="004D4BC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D4BC4"/>
    <w:rPr>
      <w:rFonts w:ascii="Times New Roman" w:eastAsia="Times New Roman" w:hAnsi="Times New Roman" w:cs="Times New Roman"/>
      <w:sz w:val="16"/>
      <w:szCs w:val="20"/>
      <w:lang w:val="en-GB" w:eastAsia="en-US"/>
    </w:rPr>
  </w:style>
  <w:style w:type="paragraph" w:customStyle="1" w:styleId="Chapter">
    <w:name w:val="Chapter"/>
    <w:basedOn w:val="Normal"/>
    <w:rsid w:val="004D4BC4"/>
    <w:pPr>
      <w:spacing w:before="240"/>
    </w:pPr>
    <w:rPr>
      <w:rFonts w:ascii="Times New Roman" w:hAnsi="Times New Roman"/>
      <w:smallCaps/>
      <w:spacing w:val="80"/>
      <w:sz w:val="28"/>
    </w:rPr>
  </w:style>
  <w:style w:type="paragraph" w:customStyle="1" w:styleId="InChapter">
    <w:name w:val="InChapter"/>
    <w:basedOn w:val="Heading3"/>
    <w:rsid w:val="004D4BC4"/>
    <w:pPr>
      <w:spacing w:after="240"/>
      <w:outlineLvl w:val="9"/>
    </w:pPr>
    <w:rPr>
      <w:noProof/>
    </w:rPr>
  </w:style>
  <w:style w:type="paragraph" w:styleId="Index2">
    <w:name w:val="index 2"/>
    <w:basedOn w:val="Normal"/>
    <w:next w:val="Normal"/>
    <w:semiHidden/>
    <w:rsid w:val="004D4BC4"/>
    <w:pPr>
      <w:tabs>
        <w:tab w:val="right" w:pos="4176"/>
      </w:tabs>
      <w:ind w:left="568" w:hanging="284"/>
    </w:pPr>
    <w:rPr>
      <w:rFonts w:ascii="Garamond" w:hAnsi="Garamond"/>
    </w:rPr>
  </w:style>
  <w:style w:type="paragraph" w:customStyle="1" w:styleId="Byline">
    <w:name w:val="Byline"/>
    <w:rsid w:val="004D4BC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D4BC4"/>
    <w:pPr>
      <w:tabs>
        <w:tab w:val="clear" w:pos="3600"/>
        <w:tab w:val="clear" w:pos="3958"/>
      </w:tabs>
      <w:jc w:val="right"/>
    </w:pPr>
  </w:style>
  <w:style w:type="paragraph" w:styleId="Caption">
    <w:name w:val="caption"/>
    <w:basedOn w:val="BodyText"/>
    <w:next w:val="Normal"/>
    <w:qFormat/>
    <w:rsid w:val="004D4BC4"/>
    <w:pPr>
      <w:framePr w:w="2268" w:hSpace="181" w:vSpace="181" w:wrap="around" w:vAnchor="text" w:hAnchor="page" w:x="1135" w:y="285" w:anchorLock="1"/>
    </w:pPr>
    <w:rPr>
      <w:i/>
    </w:rPr>
  </w:style>
  <w:style w:type="paragraph" w:customStyle="1" w:styleId="MiniTOCTitle">
    <w:name w:val="MiniTOCTitle"/>
    <w:basedOn w:val="Heading4"/>
    <w:rsid w:val="004D4BC4"/>
    <w:pPr>
      <w:spacing w:before="240"/>
      <w:outlineLvl w:val="9"/>
    </w:pPr>
    <w:rPr>
      <w:noProof/>
      <w:sz w:val="24"/>
    </w:rPr>
  </w:style>
  <w:style w:type="paragraph" w:customStyle="1" w:styleId="MiniTOCItem">
    <w:name w:val="MiniTOCItem"/>
    <w:basedOn w:val="ListBullet"/>
    <w:rsid w:val="004D4BC4"/>
    <w:pPr>
      <w:numPr>
        <w:numId w:val="0"/>
      </w:numPr>
      <w:tabs>
        <w:tab w:val="right" w:leader="dot" w:pos="6521"/>
      </w:tabs>
      <w:spacing w:before="0" w:after="0"/>
    </w:pPr>
  </w:style>
  <w:style w:type="paragraph" w:customStyle="1" w:styleId="TOFTitle">
    <w:name w:val="TOFTitle"/>
    <w:basedOn w:val="TOCTitle"/>
    <w:rsid w:val="004D4BC4"/>
  </w:style>
  <w:style w:type="paragraph" w:styleId="TableofFigures">
    <w:name w:val="table of figures"/>
    <w:basedOn w:val="Normal"/>
    <w:next w:val="Normal"/>
    <w:semiHidden/>
    <w:rsid w:val="004D4BC4"/>
    <w:pPr>
      <w:tabs>
        <w:tab w:val="right" w:leader="dot" w:pos="9072"/>
      </w:tabs>
      <w:ind w:left="970" w:hanging="403"/>
    </w:pPr>
    <w:rPr>
      <w:rFonts w:ascii="Times New Roman" w:hAnsi="Times New Roman"/>
      <w:b/>
    </w:rPr>
  </w:style>
  <w:style w:type="paragraph" w:styleId="ListNumber">
    <w:name w:val="List Number"/>
    <w:basedOn w:val="List"/>
    <w:rsid w:val="004D4BC4"/>
    <w:pPr>
      <w:numPr>
        <w:numId w:val="16"/>
      </w:numPr>
      <w:tabs>
        <w:tab w:val="clear" w:pos="340"/>
      </w:tabs>
    </w:pPr>
  </w:style>
  <w:style w:type="character" w:customStyle="1" w:styleId="WingdingSymbols">
    <w:name w:val="Wingding Symbols"/>
    <w:rsid w:val="004D4BC4"/>
    <w:rPr>
      <w:rFonts w:ascii="Wingdings" w:hAnsi="Wingdings"/>
    </w:rPr>
  </w:style>
  <w:style w:type="paragraph" w:customStyle="1" w:styleId="TableHeading">
    <w:name w:val="Table Heading"/>
    <w:basedOn w:val="HeadingBase"/>
    <w:rsid w:val="004D4BC4"/>
    <w:pPr>
      <w:keepLines/>
      <w:pBdr>
        <w:bottom w:val="single" w:sz="6" w:space="1" w:color="918585"/>
      </w:pBdr>
      <w:spacing w:before="240"/>
    </w:pPr>
  </w:style>
  <w:style w:type="character" w:customStyle="1" w:styleId="HotSpot">
    <w:name w:val="HotSpot"/>
    <w:rsid w:val="004D4BC4"/>
    <w:rPr>
      <w:color w:val="0033CC"/>
      <w:u w:val="none"/>
    </w:rPr>
  </w:style>
  <w:style w:type="paragraph" w:customStyle="1" w:styleId="BodyTextRight">
    <w:name w:val="Body Text Right"/>
    <w:basedOn w:val="BodyText"/>
    <w:rsid w:val="004D4BC4"/>
    <w:pPr>
      <w:spacing w:before="0" w:after="0"/>
      <w:jc w:val="right"/>
    </w:pPr>
  </w:style>
  <w:style w:type="paragraph" w:styleId="Index3">
    <w:name w:val="index 3"/>
    <w:basedOn w:val="ListNumber2"/>
    <w:next w:val="Normal"/>
    <w:semiHidden/>
    <w:rsid w:val="004D4BC4"/>
    <w:pPr>
      <w:numPr>
        <w:numId w:val="0"/>
      </w:numPr>
      <w:tabs>
        <w:tab w:val="right" w:leader="dot" w:pos="4176"/>
      </w:tabs>
    </w:pPr>
  </w:style>
  <w:style w:type="paragraph" w:styleId="ListNumber2">
    <w:name w:val="List Number 2"/>
    <w:basedOn w:val="List2"/>
    <w:rsid w:val="004D4BC4"/>
    <w:pPr>
      <w:numPr>
        <w:numId w:val="11"/>
      </w:numPr>
      <w:tabs>
        <w:tab w:val="clear" w:pos="1060"/>
      </w:tabs>
    </w:pPr>
  </w:style>
  <w:style w:type="paragraph" w:customStyle="1" w:styleId="MarginNote">
    <w:name w:val="Margin Note"/>
    <w:basedOn w:val="BodyText"/>
    <w:rsid w:val="004D4BC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D4BC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D4BC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D4BC4"/>
    <w:rPr>
      <w:sz w:val="32"/>
    </w:rPr>
  </w:style>
  <w:style w:type="paragraph" w:customStyle="1" w:styleId="HeadingProcedure">
    <w:name w:val="Heading Procedure"/>
    <w:basedOn w:val="HeadingBase"/>
    <w:next w:val="Normal"/>
    <w:rsid w:val="004D4BC4"/>
    <w:pPr>
      <w:tabs>
        <w:tab w:val="left" w:pos="0"/>
      </w:tabs>
      <w:spacing w:before="120" w:after="60"/>
    </w:pPr>
    <w:rPr>
      <w:i/>
      <w:color w:val="918585"/>
      <w:sz w:val="22"/>
    </w:rPr>
  </w:style>
  <w:style w:type="paragraph" w:customStyle="1" w:styleId="TableBodyText">
    <w:name w:val="Table Body Text"/>
    <w:basedOn w:val="BodyText"/>
    <w:rsid w:val="004D4BC4"/>
    <w:pPr>
      <w:spacing w:before="60" w:after="60"/>
    </w:pPr>
  </w:style>
  <w:style w:type="paragraph" w:customStyle="1" w:styleId="ListNote">
    <w:name w:val="List Note"/>
    <w:basedOn w:val="List"/>
    <w:rsid w:val="004D4BC4"/>
    <w:pPr>
      <w:pBdr>
        <w:top w:val="single" w:sz="6" w:space="2" w:color="918585"/>
        <w:bottom w:val="single" w:sz="6" w:space="2" w:color="918585"/>
      </w:pBdr>
      <w:tabs>
        <w:tab w:val="left" w:pos="1021"/>
      </w:tabs>
      <w:ind w:firstLine="0"/>
    </w:pPr>
  </w:style>
  <w:style w:type="paragraph" w:customStyle="1" w:styleId="Warning">
    <w:name w:val="Warning"/>
    <w:basedOn w:val="BodyText"/>
    <w:rsid w:val="004D4BC4"/>
    <w:pPr>
      <w:shd w:val="clear" w:color="auto" w:fill="D9D9D9"/>
      <w:tabs>
        <w:tab w:val="left" w:pos="992"/>
      </w:tabs>
      <w:ind w:left="119" w:right="119"/>
    </w:pPr>
    <w:rPr>
      <w:sz w:val="20"/>
    </w:rPr>
  </w:style>
  <w:style w:type="paragraph" w:customStyle="1" w:styleId="MarginIcons">
    <w:name w:val="Margin Icons"/>
    <w:basedOn w:val="BodyText"/>
    <w:rsid w:val="004D4BC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D4BC4"/>
    <w:rPr>
      <w:rFonts w:ascii="Courier New" w:hAnsi="Courier New"/>
    </w:rPr>
  </w:style>
  <w:style w:type="paragraph" w:customStyle="1" w:styleId="NoteBullet">
    <w:name w:val="Note Bullet"/>
    <w:basedOn w:val="Note"/>
    <w:rsid w:val="004D4BC4"/>
    <w:pPr>
      <w:tabs>
        <w:tab w:val="clear" w:pos="680"/>
      </w:tabs>
      <w:spacing w:before="60" w:after="60"/>
    </w:pPr>
  </w:style>
  <w:style w:type="paragraph" w:customStyle="1" w:styleId="SubHeading2">
    <w:name w:val="SubHeading2"/>
    <w:basedOn w:val="HeadingBase"/>
    <w:rsid w:val="004D4BC4"/>
    <w:pPr>
      <w:spacing w:before="240" w:after="60"/>
    </w:pPr>
    <w:rPr>
      <w:sz w:val="20"/>
    </w:rPr>
  </w:style>
  <w:style w:type="paragraph" w:customStyle="1" w:styleId="SubHeading1">
    <w:name w:val="SubHeading1"/>
    <w:basedOn w:val="HeadingBase"/>
    <w:rsid w:val="004D4BC4"/>
    <w:pPr>
      <w:spacing w:before="240" w:after="60"/>
    </w:pPr>
    <w:rPr>
      <w:color w:val="918585"/>
      <w:sz w:val="22"/>
    </w:rPr>
  </w:style>
  <w:style w:type="paragraph" w:customStyle="1" w:styleId="SideHeading">
    <w:name w:val="Side Heading"/>
    <w:basedOn w:val="HeadingBase"/>
    <w:rsid w:val="004D4BC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D4BC4"/>
    <w:pPr>
      <w:numPr>
        <w:numId w:val="12"/>
      </w:numPr>
    </w:pPr>
  </w:style>
  <w:style w:type="paragraph" w:styleId="PlainText">
    <w:name w:val="Plain Text"/>
    <w:basedOn w:val="Normal"/>
    <w:link w:val="PlainTextChar"/>
    <w:rsid w:val="004D4BC4"/>
    <w:rPr>
      <w:sz w:val="20"/>
    </w:rPr>
  </w:style>
  <w:style w:type="character" w:customStyle="1" w:styleId="PlainTextChar">
    <w:name w:val="Plain Text Char"/>
    <w:basedOn w:val="DefaultParagraphFont"/>
    <w:link w:val="PlainText"/>
    <w:rsid w:val="004D4BC4"/>
    <w:rPr>
      <w:rFonts w:ascii="Courier New" w:eastAsia="Times New Roman" w:hAnsi="Courier New" w:cs="Times New Roman"/>
      <w:sz w:val="20"/>
      <w:szCs w:val="20"/>
      <w:lang w:eastAsia="en-US"/>
    </w:rPr>
  </w:style>
  <w:style w:type="character" w:customStyle="1" w:styleId="MenuOption">
    <w:name w:val="Menu Option"/>
    <w:basedOn w:val="DefaultParagraphFont"/>
    <w:rsid w:val="004D4BC4"/>
    <w:rPr>
      <w:b/>
      <w:smallCaps/>
    </w:rPr>
  </w:style>
  <w:style w:type="paragraph" w:customStyle="1" w:styleId="TableListNumber">
    <w:name w:val="Table List Number"/>
    <w:basedOn w:val="ListNumber"/>
    <w:rsid w:val="004D4BC4"/>
    <w:pPr>
      <w:numPr>
        <w:numId w:val="0"/>
      </w:numPr>
    </w:pPr>
  </w:style>
  <w:style w:type="paragraph" w:styleId="TOC4">
    <w:name w:val="toc 4"/>
    <w:basedOn w:val="TOCBase"/>
    <w:next w:val="Normal"/>
    <w:semiHidden/>
    <w:rsid w:val="004D4BC4"/>
    <w:pPr>
      <w:tabs>
        <w:tab w:val="right" w:leader="dot" w:pos="9071"/>
      </w:tabs>
      <w:ind w:left="1701"/>
    </w:pPr>
  </w:style>
  <w:style w:type="paragraph" w:customStyle="1" w:styleId="ListAlpha">
    <w:name w:val="List Alpha"/>
    <w:basedOn w:val="List"/>
    <w:rsid w:val="004D4BC4"/>
    <w:pPr>
      <w:numPr>
        <w:numId w:val="10"/>
      </w:numPr>
    </w:pPr>
  </w:style>
  <w:style w:type="paragraph" w:customStyle="1" w:styleId="ListAlpha2">
    <w:name w:val="List Alpha 2"/>
    <w:basedOn w:val="List2"/>
    <w:rsid w:val="004D4BC4"/>
    <w:pPr>
      <w:numPr>
        <w:numId w:val="9"/>
      </w:numPr>
    </w:pPr>
  </w:style>
  <w:style w:type="paragraph" w:styleId="List2">
    <w:name w:val="List 2"/>
    <w:basedOn w:val="BodyText"/>
    <w:rsid w:val="004D4BC4"/>
    <w:pPr>
      <w:tabs>
        <w:tab w:val="left" w:pos="680"/>
      </w:tabs>
      <w:spacing w:before="60" w:after="60"/>
      <w:ind w:left="680" w:hanging="340"/>
    </w:pPr>
  </w:style>
  <w:style w:type="paragraph" w:styleId="List3">
    <w:name w:val="List 3"/>
    <w:basedOn w:val="BodyText"/>
    <w:rsid w:val="004D4BC4"/>
    <w:pPr>
      <w:tabs>
        <w:tab w:val="left" w:pos="1021"/>
      </w:tabs>
      <w:spacing w:before="60" w:after="60"/>
      <w:ind w:left="1020" w:hanging="340"/>
    </w:pPr>
  </w:style>
  <w:style w:type="paragraph" w:styleId="List4">
    <w:name w:val="List 4"/>
    <w:basedOn w:val="BodyText"/>
    <w:rsid w:val="004D4BC4"/>
    <w:pPr>
      <w:tabs>
        <w:tab w:val="left" w:pos="1361"/>
      </w:tabs>
      <w:spacing w:before="60" w:after="60"/>
      <w:ind w:left="1361" w:hanging="340"/>
    </w:pPr>
  </w:style>
  <w:style w:type="paragraph" w:styleId="List5">
    <w:name w:val="List 5"/>
    <w:basedOn w:val="BodyText"/>
    <w:rsid w:val="004D4BC4"/>
    <w:pPr>
      <w:tabs>
        <w:tab w:val="left" w:pos="1701"/>
      </w:tabs>
      <w:spacing w:before="60" w:after="60"/>
      <w:ind w:left="1701" w:hanging="340"/>
    </w:pPr>
  </w:style>
  <w:style w:type="paragraph" w:styleId="ListBullet4">
    <w:name w:val="List Bullet 4"/>
    <w:basedOn w:val="List4"/>
    <w:rsid w:val="004D4BC4"/>
    <w:pPr>
      <w:numPr>
        <w:numId w:val="4"/>
      </w:numPr>
      <w:tabs>
        <w:tab w:val="clear" w:pos="1361"/>
      </w:tabs>
    </w:pPr>
  </w:style>
  <w:style w:type="paragraph" w:styleId="ListBullet5">
    <w:name w:val="List Bullet 5"/>
    <w:basedOn w:val="List5"/>
    <w:rsid w:val="004D4BC4"/>
    <w:pPr>
      <w:numPr>
        <w:numId w:val="5"/>
      </w:numPr>
    </w:pPr>
  </w:style>
  <w:style w:type="paragraph" w:styleId="ListContinue2">
    <w:name w:val="List Continue 2"/>
    <w:basedOn w:val="List2"/>
    <w:rsid w:val="004D4BC4"/>
    <w:pPr>
      <w:ind w:firstLine="0"/>
    </w:pPr>
  </w:style>
  <w:style w:type="paragraph" w:styleId="ListContinue3">
    <w:name w:val="List Continue 3"/>
    <w:basedOn w:val="List3"/>
    <w:rsid w:val="004D4BC4"/>
    <w:pPr>
      <w:ind w:left="1021" w:firstLine="0"/>
    </w:pPr>
  </w:style>
  <w:style w:type="paragraph" w:styleId="ListContinue4">
    <w:name w:val="List Continue 4"/>
    <w:basedOn w:val="List4"/>
    <w:rsid w:val="004D4BC4"/>
    <w:pPr>
      <w:ind w:firstLine="0"/>
    </w:pPr>
  </w:style>
  <w:style w:type="paragraph" w:styleId="ListContinue5">
    <w:name w:val="List Continue 5"/>
    <w:basedOn w:val="List5"/>
    <w:rsid w:val="004D4BC4"/>
    <w:pPr>
      <w:ind w:firstLine="0"/>
    </w:pPr>
  </w:style>
  <w:style w:type="paragraph" w:styleId="ListNumber3">
    <w:name w:val="List Number 3"/>
    <w:basedOn w:val="List3"/>
    <w:rsid w:val="004D4BC4"/>
    <w:pPr>
      <w:numPr>
        <w:numId w:val="6"/>
      </w:numPr>
    </w:pPr>
  </w:style>
  <w:style w:type="paragraph" w:styleId="ListNumber4">
    <w:name w:val="List Number 4"/>
    <w:basedOn w:val="List4"/>
    <w:rsid w:val="004D4BC4"/>
    <w:pPr>
      <w:numPr>
        <w:numId w:val="7"/>
      </w:numPr>
    </w:pPr>
  </w:style>
  <w:style w:type="paragraph" w:styleId="ListNumber5">
    <w:name w:val="List Number 5"/>
    <w:basedOn w:val="List5"/>
    <w:rsid w:val="004D4BC4"/>
    <w:pPr>
      <w:numPr>
        <w:numId w:val="8"/>
      </w:numPr>
    </w:pPr>
  </w:style>
  <w:style w:type="paragraph" w:styleId="BlockText">
    <w:name w:val="Block Text"/>
    <w:basedOn w:val="Normal"/>
    <w:rsid w:val="004D4BC4"/>
    <w:pPr>
      <w:spacing w:after="120"/>
      <w:ind w:left="1440" w:right="1440"/>
    </w:pPr>
  </w:style>
  <w:style w:type="character" w:customStyle="1" w:styleId="Subscript">
    <w:name w:val="Subscript"/>
    <w:basedOn w:val="DefaultParagraphFont"/>
    <w:rsid w:val="004D4BC4"/>
    <w:rPr>
      <w:sz w:val="16"/>
      <w:vertAlign w:val="subscript"/>
    </w:rPr>
  </w:style>
  <w:style w:type="character" w:customStyle="1" w:styleId="Superscript">
    <w:name w:val="Superscript"/>
    <w:basedOn w:val="DefaultParagraphFont"/>
    <w:rsid w:val="004D4BC4"/>
    <w:rPr>
      <w:sz w:val="16"/>
      <w:vertAlign w:val="superscript"/>
    </w:rPr>
  </w:style>
  <w:style w:type="character" w:customStyle="1" w:styleId="Symbols">
    <w:name w:val="Symbols"/>
    <w:basedOn w:val="DefaultParagraphFont"/>
    <w:rsid w:val="004D4BC4"/>
    <w:rPr>
      <w:rFonts w:ascii="Symbol" w:hAnsi="Symbol"/>
    </w:rPr>
  </w:style>
  <w:style w:type="character" w:customStyle="1" w:styleId="MenuOptions">
    <w:name w:val="Menu Options"/>
    <w:basedOn w:val="DefaultParagraphFont"/>
    <w:rsid w:val="004D4BC4"/>
    <w:rPr>
      <w:rFonts w:ascii="Arial Narrow" w:hAnsi="Arial Narrow"/>
      <w:smallCaps/>
    </w:rPr>
  </w:style>
  <w:style w:type="character" w:customStyle="1" w:styleId="Buttons">
    <w:name w:val="Buttons"/>
    <w:basedOn w:val="DefaultParagraphFont"/>
    <w:rsid w:val="004D4BC4"/>
    <w:rPr>
      <w:b/>
    </w:rPr>
  </w:style>
  <w:style w:type="character" w:customStyle="1" w:styleId="Underlined">
    <w:name w:val="Underlined"/>
    <w:basedOn w:val="DefaultParagraphFont"/>
    <w:rsid w:val="004D4BC4"/>
    <w:rPr>
      <w:u w:val="single"/>
    </w:rPr>
  </w:style>
  <w:style w:type="paragraph" w:customStyle="1" w:styleId="TableBodyTextRight">
    <w:name w:val="Table Body Text Right"/>
    <w:basedOn w:val="TableBodyText"/>
    <w:rsid w:val="004D4BC4"/>
    <w:pPr>
      <w:widowControl w:val="0"/>
      <w:autoSpaceDE w:val="0"/>
      <w:autoSpaceDN w:val="0"/>
      <w:adjustRightInd w:val="0"/>
      <w:jc w:val="right"/>
    </w:pPr>
    <w:rPr>
      <w:rFonts w:cs="Arial"/>
      <w:szCs w:val="18"/>
    </w:rPr>
  </w:style>
  <w:style w:type="paragraph" w:customStyle="1" w:styleId="CopyrightText">
    <w:name w:val="Copyright Text"/>
    <w:basedOn w:val="BodyText"/>
    <w:rsid w:val="004D4BC4"/>
    <w:rPr>
      <w:sz w:val="18"/>
    </w:rPr>
  </w:style>
  <w:style w:type="paragraph" w:customStyle="1" w:styleId="BodySmallRight">
    <w:name w:val="Body Small Right"/>
    <w:basedOn w:val="BodyTextRight"/>
    <w:rsid w:val="004D4BC4"/>
    <w:rPr>
      <w:sz w:val="18"/>
      <w:szCs w:val="18"/>
    </w:rPr>
  </w:style>
  <w:style w:type="paragraph" w:customStyle="1" w:styleId="MarginEdition">
    <w:name w:val="Margin Edition"/>
    <w:basedOn w:val="MarginNote"/>
    <w:rsid w:val="004D4BC4"/>
    <w:pPr>
      <w:spacing w:before="0" w:after="0"/>
    </w:pPr>
    <w:rPr>
      <w:rFonts w:ascii="Times New Roman" w:hAnsi="Times New Roman"/>
      <w:color w:val="999999"/>
    </w:rPr>
  </w:style>
  <w:style w:type="paragraph" w:customStyle="1" w:styleId="Spacer">
    <w:name w:val="Spacer"/>
    <w:basedOn w:val="Normal"/>
    <w:rsid w:val="004D4BC4"/>
    <w:rPr>
      <w:sz w:val="2"/>
      <w:szCs w:val="2"/>
    </w:rPr>
  </w:style>
  <w:style w:type="character" w:customStyle="1" w:styleId="Small">
    <w:name w:val="Small"/>
    <w:basedOn w:val="DefaultParagraphFont"/>
    <w:rsid w:val="004D4BC4"/>
    <w:rPr>
      <w:sz w:val="16"/>
    </w:rPr>
  </w:style>
  <w:style w:type="paragraph" w:customStyle="1" w:styleId="WideTable">
    <w:name w:val="Wide Table"/>
    <w:basedOn w:val="Normal"/>
    <w:rsid w:val="004D4BC4"/>
    <w:pPr>
      <w:ind w:left="-1418"/>
    </w:pPr>
    <w:rPr>
      <w:sz w:val="2"/>
      <w:szCs w:val="2"/>
    </w:rPr>
  </w:style>
  <w:style w:type="character" w:styleId="PageNumber">
    <w:name w:val="page number"/>
    <w:basedOn w:val="DefaultParagraphFont"/>
    <w:rsid w:val="004D4BC4"/>
  </w:style>
  <w:style w:type="paragraph" w:styleId="Quote">
    <w:name w:val="Quote"/>
    <w:basedOn w:val="Heading1"/>
    <w:link w:val="QuoteChar"/>
    <w:qFormat/>
    <w:rsid w:val="004D4BC4"/>
    <w:rPr>
      <w:b w:val="0"/>
      <w:sz w:val="72"/>
      <w:szCs w:val="72"/>
      <w:lang w:val="en-NZ"/>
    </w:rPr>
  </w:style>
  <w:style w:type="character" w:customStyle="1" w:styleId="QuoteChar">
    <w:name w:val="Quote Char"/>
    <w:basedOn w:val="DefaultParagraphFont"/>
    <w:link w:val="Quote"/>
    <w:rsid w:val="004D4BC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D4BC4"/>
    <w:pPr>
      <w:pageBreakBefore/>
    </w:pPr>
  </w:style>
  <w:style w:type="paragraph" w:customStyle="1" w:styleId="Border">
    <w:name w:val="Border"/>
    <w:basedOn w:val="Normal"/>
    <w:qFormat/>
    <w:rsid w:val="004D4BC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D4BC4"/>
    <w:rPr>
      <w:b/>
      <w:bCs/>
      <w:i/>
      <w:iCs/>
      <w:color w:val="auto"/>
    </w:rPr>
  </w:style>
  <w:style w:type="paragraph" w:styleId="IntenseQuote">
    <w:name w:val="Intense Quote"/>
    <w:basedOn w:val="Normal"/>
    <w:next w:val="Normal"/>
    <w:link w:val="IntenseQuoteChar"/>
    <w:uiPriority w:val="30"/>
    <w:qFormat/>
    <w:rsid w:val="004D4BC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D4BC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D4BC4"/>
    <w:rPr>
      <w:smallCaps/>
      <w:color w:val="auto"/>
      <w:u w:val="single"/>
    </w:rPr>
  </w:style>
  <w:style w:type="character" w:styleId="IntenseReference">
    <w:name w:val="Intense Reference"/>
    <w:basedOn w:val="DefaultParagraphFont"/>
    <w:uiPriority w:val="32"/>
    <w:qFormat/>
    <w:rsid w:val="004D4BC4"/>
    <w:rPr>
      <w:b/>
      <w:bCs/>
      <w:smallCaps/>
      <w:color w:val="auto"/>
      <w:spacing w:val="5"/>
      <w:u w:val="single"/>
    </w:rPr>
  </w:style>
  <w:style w:type="paragraph" w:customStyle="1" w:styleId="2ColumnHeading">
    <w:name w:val="2Column Heading"/>
    <w:basedOn w:val="BodyText"/>
    <w:qFormat/>
    <w:rsid w:val="004D4BC4"/>
    <w:pPr>
      <w:spacing w:after="60"/>
      <w:ind w:left="-2268"/>
    </w:pPr>
    <w:rPr>
      <w:b/>
    </w:rPr>
  </w:style>
  <w:style w:type="paragraph" w:customStyle="1" w:styleId="Heading1TOC">
    <w:name w:val="Heading1 TOC"/>
    <w:basedOn w:val="Normal"/>
    <w:qFormat/>
    <w:rsid w:val="004D4BC4"/>
    <w:pPr>
      <w:spacing w:before="240" w:after="120"/>
    </w:pPr>
    <w:rPr>
      <w:rFonts w:ascii="Times New Roman" w:hAnsi="Times New Roman"/>
      <w:b/>
      <w:sz w:val="32"/>
    </w:rPr>
  </w:style>
  <w:style w:type="paragraph" w:customStyle="1" w:styleId="Heading2TOC">
    <w:name w:val="Heading2 TOC"/>
    <w:basedOn w:val="Normal"/>
    <w:qFormat/>
    <w:rsid w:val="004D4BC4"/>
    <w:pPr>
      <w:spacing w:before="240" w:after="60"/>
    </w:pPr>
    <w:rPr>
      <w:rFonts w:ascii="Times New Roman" w:hAnsi="Times New Roman"/>
      <w:b/>
      <w:sz w:val="28"/>
    </w:rPr>
  </w:style>
  <w:style w:type="character" w:customStyle="1" w:styleId="Underline">
    <w:name w:val="Underline"/>
    <w:basedOn w:val="DefaultParagraphFont"/>
    <w:qFormat/>
    <w:rsid w:val="004D4BC4"/>
    <w:rPr>
      <w:u w:val="single"/>
    </w:rPr>
  </w:style>
  <w:style w:type="character" w:customStyle="1" w:styleId="BoldandItalics">
    <w:name w:val="Bold and Italics"/>
    <w:qFormat/>
    <w:rsid w:val="004D4BC4"/>
    <w:rPr>
      <w:b/>
      <w:i/>
      <w:u w:val="none"/>
    </w:rPr>
  </w:style>
  <w:style w:type="paragraph" w:styleId="BalloonText">
    <w:name w:val="Balloon Text"/>
    <w:basedOn w:val="Normal"/>
    <w:link w:val="BalloonTextChar"/>
    <w:rsid w:val="004D4BC4"/>
    <w:rPr>
      <w:rFonts w:ascii="Tahoma" w:hAnsi="Tahoma" w:cs="Tahoma"/>
      <w:sz w:val="16"/>
      <w:szCs w:val="16"/>
    </w:rPr>
  </w:style>
  <w:style w:type="character" w:customStyle="1" w:styleId="BalloonTextChar">
    <w:name w:val="Balloon Text Char"/>
    <w:basedOn w:val="DefaultParagraphFont"/>
    <w:link w:val="BalloonText"/>
    <w:rsid w:val="004D4BC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D4BC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D4BC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D4BC4"/>
    <w:rPr>
      <w:b/>
      <w:color w:val="660033"/>
      <w:spacing w:val="0"/>
    </w:rPr>
  </w:style>
  <w:style w:type="paragraph" w:customStyle="1" w:styleId="Nameditemlist">
    <w:name w:val="Named item list"/>
    <w:basedOn w:val="BodyText"/>
    <w:qFormat/>
    <w:rsid w:val="004D4BC4"/>
    <w:pPr>
      <w:tabs>
        <w:tab w:val="left" w:pos="2835"/>
      </w:tabs>
      <w:ind w:left="2835" w:hanging="2835"/>
    </w:pPr>
  </w:style>
  <w:style w:type="paragraph" w:customStyle="1" w:styleId="BodyTextnopadding">
    <w:name w:val="Body Text no padding"/>
    <w:basedOn w:val="BodyText"/>
    <w:qFormat/>
    <w:rsid w:val="004D4BC4"/>
    <w:pPr>
      <w:spacing w:before="0" w:after="0"/>
    </w:pPr>
  </w:style>
  <w:style w:type="paragraph" w:customStyle="1" w:styleId="BodyTextBold">
    <w:name w:val="Body Text Bold"/>
    <w:basedOn w:val="BodyText"/>
    <w:qFormat/>
    <w:rsid w:val="004D4BC4"/>
    <w:rPr>
      <w:b/>
    </w:rPr>
  </w:style>
  <w:style w:type="character" w:styleId="Hyperlink">
    <w:name w:val="Hyperlink"/>
    <w:basedOn w:val="DefaultParagraphFont"/>
    <w:uiPriority w:val="99"/>
    <w:unhideWhenUsed/>
    <w:rsid w:val="0093687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1383</Words>
  <Characters>9052</Characters>
  <Application>Microsoft Office Word</Application>
  <DocSecurity>0</DocSecurity>
  <Lines>258</Lines>
  <Paragraphs>160</Paragraphs>
  <ScaleCrop>false</ScaleCrop>
  <Company>Author-it Software Corporation Ltd.</Company>
  <LinksUpToDate>false</LinksUpToDate>
  <CharactersWithSpaces>10275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HLTHPS009 Perform peripheral intravenous cannulation</dc:title>
  <dc:subject>Approved</dc:subject>
  <dc:creator>HumanAbility</dc:creator>
  <cp:keywords>Release: 1</cp:keywords>
  <dc:description>Review Date: 12 April 2008</dc:description>
  <cp:lastModifiedBy>HSD_TPCMSd.prod</cp:lastModifiedBy>
  <cp:revision>3</cp:revision>
  <dcterms:created xsi:type="dcterms:W3CDTF">2025-03-01T14:25:00Z</dcterms:created>
  <dcterms:modified xsi:type="dcterms:W3CDTF">2025-03-01T14:25:00Z</dcterms:modified>
</cp:coreProperties>
</file>