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313" w:rsidP="00195313">
      <w:pPr>
        <w:pStyle w:val="Title"/>
      </w:pPr>
      <w:r>
        <w:fldChar w:fldCharType="begin"/>
      </w:r>
      <w:r>
        <w:instrText xml:space="preserve"> TITLE   \* MERGEFORMAT </w:instrText>
      </w:r>
      <w:r>
        <w:fldChar w:fldCharType="separate"/>
      </w:r>
      <w:r>
        <w:t>Assessment Requirements for HLTHPS007 Administer and monitor medications</w:t>
      </w:r>
      <w:r>
        <w:fldChar w:fldCharType="end"/>
      </w:r>
    </w:p>
    <w:p w:rsidR="00195313" w:rsidP="00195313">
      <w:pPr>
        <w:pStyle w:val="Version"/>
        <w:sectPr w:rsidSect="00BD5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CC5" w:rsidP="00BD5CC5">
      <w:pPr>
        <w:pStyle w:val="SuperHeading"/>
      </w:pPr>
      <w:r w:rsidRPr="00BD5CC5">
        <w:t>Assessment Requirements for HLTHPS007 Administer and monitor medications</w:t>
      </w:r>
    </w:p>
    <w:p w:rsidR="00000000" w:rsidRPr="00BD5CC5" w:rsidP="00BD5CC5">
      <w:pPr>
        <w:pStyle w:val="Heading1"/>
      </w:pPr>
      <w:bookmarkStart w:id="1" w:name="O_743627"/>
      <w:bookmarkEnd w:id="1"/>
      <w:r w:rsidRPr="00BD5CC5">
        <w:t>Modification History</w:t>
      </w:r>
    </w:p>
    <w:tbl>
      <w:tblPr>
        <w:tblW w:w="0" w:type="auto"/>
        <w:tblLayout w:type="fixed"/>
        <w:tblCellMar>
          <w:left w:w="62" w:type="dxa"/>
          <w:right w:w="62" w:type="dxa"/>
        </w:tblCellMar>
        <w:tblLook w:val="0000"/>
      </w:tblPr>
      <w:tblGrid>
        <w:gridCol w:w="2790"/>
        <w:gridCol w:w="6344"/>
      </w:tblGrid>
      <w:tr w:rsidTr="00BD5C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C5" w:rsidP="00BD5CC5">
            <w:pPr>
              <w:pStyle w:val="BodyText"/>
            </w:pPr>
            <w:r w:rsidRPr="00BD5C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C5">
            <w:pPr>
              <w:pStyle w:val="BodyText"/>
              <w:rPr>
                <w:lang w:val="en-NZ"/>
              </w:rPr>
            </w:pPr>
            <w:r w:rsidRPr="00BD5CC5">
              <w:rPr>
                <w:rStyle w:val="SpecialBold"/>
              </w:rPr>
              <w:t>Comments</w:t>
            </w:r>
          </w:p>
        </w:tc>
      </w:tr>
      <w:tr w:rsidTr="00BD5C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CC5">
            <w:pPr>
              <w:pStyle w:val="BodyText"/>
              <w:rPr>
                <w:lang w:val="en-NZ"/>
              </w:rPr>
            </w:pPr>
            <w:r w:rsidRPr="00BD5C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CC5" w:rsidP="00BD5CC5">
            <w:pPr>
              <w:pStyle w:val="BodyText"/>
            </w:pPr>
            <w:r w:rsidRPr="00BD5CC5">
              <w:t xml:space="preserve">This version was released in </w:t>
            </w:r>
            <w:r w:rsidRPr="00BD5CC5">
              <w:rPr>
                <w:rStyle w:val="Emphasis"/>
              </w:rPr>
              <w:t>HLT Health Training Package release 2.0</w:t>
            </w:r>
            <w:r w:rsidRPr="00BD5CC5">
              <w:t xml:space="preserve"> and meets the</w:t>
            </w:r>
            <w:r w:rsidRPr="00BD5CC5">
              <w:t xml:space="preserve"> requirements of the 2012 Standards for Training Packages.</w:t>
            </w:r>
          </w:p>
          <w:p w:rsidR="00000000" w:rsidRPr="00BD5CC5" w:rsidP="00BD5CC5">
            <w:pPr>
              <w:pStyle w:val="BodyText"/>
            </w:pPr>
            <w:r w:rsidRPr="00BD5CC5">
              <w:t>Significant changes to the elements and performance criteria. New evidence requirements for assessment, including volume and frequency requirements. Significant change to knowledge evidence.</w:t>
            </w:r>
          </w:p>
        </w:tc>
      </w:tr>
    </w:tbl>
    <w:p w:rsidR="00195313" w:rsidP="00BD5CC5">
      <w:pPr>
        <w:pStyle w:val="BodyText"/>
      </w:pPr>
    </w:p>
    <w:p w:rsidR="00195313" w:rsidP="00BD5CC5">
      <w:pPr>
        <w:pStyle w:val="BodyText"/>
      </w:pPr>
    </w:p>
    <w:p w:rsidR="00000000" w:rsidRPr="00BD5CC5" w:rsidP="00BD5CC5">
      <w:pPr>
        <w:pStyle w:val="Heading1"/>
      </w:pPr>
      <w:bookmarkStart w:id="2" w:name="O_743628"/>
      <w:bookmarkEnd w:id="2"/>
      <w:r w:rsidRPr="00BD5CC5">
        <w:t>Performance Evidence</w:t>
      </w:r>
    </w:p>
    <w:p w:rsidR="00000000" w:rsidRPr="00BD5CC5" w:rsidP="00195313">
      <w:pPr>
        <w:pStyle w:val="BodyText"/>
      </w:pPr>
      <w:r w:rsidRPr="00BD5CC5">
        <w:t>The candidate must show evidence of the ability to complete tasks outlined in elements and performance criteria of this unit, manage tasks and manage contingencies in the context of the job role. There must be evidence th</w:t>
      </w:r>
      <w:r w:rsidRPr="00BD5CC5">
        <w:t>at the candidate has:</w:t>
      </w:r>
    </w:p>
    <w:p w:rsidR="00000000" w:rsidRPr="00BD5CC5" w:rsidP="00BD5CC5">
      <w:pPr>
        <w:pStyle w:val="ListBullet"/>
      </w:pPr>
      <w:r w:rsidRPr="00BD5CC5">
        <w:t>safely administered medication to at least 10 different people, including:</w:t>
      </w:r>
    </w:p>
    <w:p w:rsidR="00000000" w:rsidRPr="00BD5CC5" w:rsidP="00BD5CC5">
      <w:pPr>
        <w:pStyle w:val="ListBullet2"/>
      </w:pPr>
      <w:r w:rsidRPr="00BD5CC5">
        <w:t xml:space="preserve">applied the rights of medication </w:t>
      </w:r>
    </w:p>
    <w:p w:rsidR="00000000" w:rsidRPr="00BD5CC5" w:rsidP="00BD5CC5">
      <w:pPr>
        <w:pStyle w:val="ListBullet2"/>
      </w:pPr>
      <w:r w:rsidRPr="00BD5CC5">
        <w:t>consulted and confirmed actions with an authorised practitioner at all relevant times</w:t>
      </w:r>
    </w:p>
    <w:p w:rsidR="00000000" w:rsidRPr="00BD5CC5" w:rsidP="00BD5CC5">
      <w:pPr>
        <w:pStyle w:val="ListBullet2"/>
      </w:pPr>
      <w:r w:rsidRPr="00BD5CC5">
        <w:t>determined medication requirements</w:t>
      </w:r>
    </w:p>
    <w:p w:rsidR="00000000" w:rsidRPr="00BD5CC5" w:rsidP="00BD5CC5">
      <w:pPr>
        <w:pStyle w:val="ListBullet2"/>
      </w:pPr>
      <w:r w:rsidRPr="00BD5CC5">
        <w:t xml:space="preserve">understood and responded appropriately to orders and instructions for medication </w:t>
      </w:r>
    </w:p>
    <w:p w:rsidR="00000000" w:rsidRPr="00BD5CC5" w:rsidP="00BD5CC5">
      <w:pPr>
        <w:pStyle w:val="ListBullet"/>
      </w:pPr>
      <w:r w:rsidRPr="00BD5CC5">
        <w:t>calculated medications with 100% accuracy and used the rights of medication and standard precautions to administer medication, using each of the following routes or methods:</w:t>
      </w:r>
      <w:r w:rsidRPr="00BD5CC5">
        <w:t xml:space="preserve"> </w:t>
      </w:r>
    </w:p>
    <w:p w:rsidR="00000000" w:rsidRPr="00BD5CC5" w:rsidP="00BD5CC5">
      <w:pPr>
        <w:pStyle w:val="ListBullet2"/>
      </w:pPr>
      <w:r w:rsidRPr="00BD5CC5">
        <w:t>oral</w:t>
      </w:r>
    </w:p>
    <w:p w:rsidR="00000000" w:rsidRPr="00BD5CC5" w:rsidP="00BD5CC5">
      <w:pPr>
        <w:pStyle w:val="ListBullet2"/>
      </w:pPr>
      <w:r w:rsidRPr="00BD5CC5">
        <w:t>sublingual/buccal</w:t>
      </w:r>
    </w:p>
    <w:p w:rsidR="00000000" w:rsidRPr="00BD5CC5" w:rsidP="00BD5CC5">
      <w:pPr>
        <w:pStyle w:val="ListBullet2"/>
      </w:pPr>
      <w:r w:rsidRPr="00BD5CC5">
        <w:t xml:space="preserve">dry powder inhalers </w:t>
      </w:r>
    </w:p>
    <w:p w:rsidR="00000000" w:rsidRPr="00BD5CC5" w:rsidP="00BD5CC5">
      <w:pPr>
        <w:pStyle w:val="ListBullet2"/>
      </w:pPr>
      <w:r w:rsidRPr="00BD5CC5">
        <w:t xml:space="preserve">metered dose/spacer inhalers </w:t>
      </w:r>
    </w:p>
    <w:p w:rsidR="00000000" w:rsidRPr="00BD5CC5" w:rsidP="00BD5CC5">
      <w:pPr>
        <w:pStyle w:val="ListBullet2"/>
      </w:pPr>
      <w:r w:rsidRPr="00BD5CC5">
        <w:t>nebulisers</w:t>
      </w:r>
    </w:p>
    <w:p w:rsidR="00000000" w:rsidRPr="00BD5CC5" w:rsidP="00BD5CC5">
      <w:pPr>
        <w:pStyle w:val="ListBullet2"/>
      </w:pPr>
      <w:r w:rsidRPr="00BD5CC5">
        <w:t>topical medications</w:t>
      </w:r>
    </w:p>
    <w:p w:rsidR="00000000" w:rsidRPr="00BD5CC5" w:rsidP="00BD5CC5">
      <w:pPr>
        <w:pStyle w:val="ListBullet2"/>
      </w:pPr>
      <w:r w:rsidRPr="00BD5CC5">
        <w:t>suppositories</w:t>
      </w:r>
    </w:p>
    <w:p w:rsidR="00000000" w:rsidRPr="00BD5CC5" w:rsidP="00BD5CC5">
      <w:pPr>
        <w:pStyle w:val="ListBullet2"/>
      </w:pPr>
      <w:r w:rsidRPr="00BD5CC5">
        <w:t>sub-cutaneous injection using pre-loaded syringes or pens</w:t>
      </w:r>
    </w:p>
    <w:p w:rsidR="00000000" w:rsidRPr="00BD5CC5" w:rsidP="00BD5CC5">
      <w:pPr>
        <w:pStyle w:val="ListBullet"/>
      </w:pPr>
      <w:r w:rsidRPr="00BD5CC5">
        <w:t>documented the administration of medication according to legislative requir</w:t>
      </w:r>
      <w:r w:rsidRPr="00BD5CC5">
        <w:t>ements and organisation procedures and policies</w:t>
      </w:r>
    </w:p>
    <w:p w:rsidR="00000000" w:rsidRPr="00BD5CC5" w:rsidP="00BD5CC5">
      <w:pPr>
        <w:pStyle w:val="AllowPageBreak"/>
      </w:pPr>
    </w:p>
    <w:p w:rsidR="00000000" w:rsidRPr="00BD5CC5" w:rsidP="00BD5CC5">
      <w:pPr>
        <w:pStyle w:val="Heading1"/>
      </w:pPr>
      <w:bookmarkStart w:id="3" w:name="O_743629"/>
      <w:bookmarkEnd w:id="3"/>
      <w:r w:rsidRPr="00BD5CC5">
        <w:t>Knowledge Evidence</w:t>
      </w:r>
    </w:p>
    <w:p w:rsidR="00000000" w:rsidRPr="00BD5CC5" w:rsidP="00195313">
      <w:pPr>
        <w:pStyle w:val="BodyText"/>
      </w:pPr>
      <w:r w:rsidRPr="00BD5CC5">
        <w:t xml:space="preserve">The candidate must be able to demonstrate essential knowledge required to effectively do the task outlined in elements and performance criteria of this </w:t>
      </w:r>
      <w:r w:rsidRPr="00BD5CC5">
        <w:t>unit, manage the task and manage contingencies in the context of the work role. This includes knowledge of:</w:t>
      </w:r>
    </w:p>
    <w:p w:rsidR="00000000" w:rsidRPr="00BD5CC5" w:rsidP="00BD5CC5">
      <w:pPr>
        <w:pStyle w:val="ListBullet"/>
      </w:pPr>
      <w:r w:rsidRPr="00BD5CC5">
        <w:t>legislation, regulations, codes of practice, professional standards and workplace policies, including:</w:t>
      </w:r>
    </w:p>
    <w:p w:rsidR="00000000" w:rsidRPr="00BD5CC5" w:rsidP="00BD5CC5">
      <w:pPr>
        <w:pStyle w:val="ListBullet2"/>
      </w:pPr>
      <w:r w:rsidRPr="00BD5CC5">
        <w:t>commonwealth and state/territory legislatio</w:t>
      </w:r>
      <w:r w:rsidRPr="00BD5CC5">
        <w:t>n concerning administration of medication, including the Drugs and Poisons Act</w:t>
      </w:r>
    </w:p>
    <w:p w:rsidR="00000000" w:rsidRPr="00BD5CC5" w:rsidP="00BD5CC5">
      <w:pPr>
        <w:pStyle w:val="ListBullet2"/>
      </w:pPr>
      <w:r w:rsidRPr="00BD5CC5">
        <w:t>Disability Services Acts (commonwealth and state/territory)</w:t>
      </w:r>
    </w:p>
    <w:p w:rsidR="00000000" w:rsidRPr="00BD5CC5" w:rsidP="00BD5CC5">
      <w:pPr>
        <w:pStyle w:val="ListBullet2"/>
      </w:pPr>
      <w:r w:rsidRPr="00BD5CC5">
        <w:t>Aged Care Act</w:t>
      </w:r>
    </w:p>
    <w:p w:rsidR="00000000" w:rsidRPr="00BD5CC5" w:rsidP="00BD5CC5">
      <w:pPr>
        <w:pStyle w:val="ListBullet2"/>
      </w:pPr>
      <w:r w:rsidRPr="00BD5CC5">
        <w:t>duty of care</w:t>
      </w:r>
    </w:p>
    <w:p w:rsidR="00000000" w:rsidRPr="00BD5CC5" w:rsidP="00BD5CC5">
      <w:pPr>
        <w:pStyle w:val="ListBullet2"/>
      </w:pPr>
      <w:r w:rsidRPr="00BD5CC5">
        <w:t>work health and safety</w:t>
      </w:r>
    </w:p>
    <w:p w:rsidR="00000000" w:rsidRPr="00BD5CC5" w:rsidP="00BD5CC5">
      <w:pPr>
        <w:pStyle w:val="ListBullet2"/>
      </w:pPr>
      <w:r w:rsidRPr="00BD5CC5">
        <w:t>standard and additional precautions</w:t>
      </w:r>
    </w:p>
    <w:p w:rsidR="00000000" w:rsidRPr="00BD5CC5" w:rsidP="00BD5CC5">
      <w:pPr>
        <w:pStyle w:val="ListBullet"/>
      </w:pPr>
      <w:r w:rsidRPr="00BD5CC5">
        <w:t>principles, practices and regu</w:t>
      </w:r>
      <w:r w:rsidRPr="00BD5CC5">
        <w:t>latory framework underpinning delegation and supervision, accountability and responsibility</w:t>
      </w:r>
    </w:p>
    <w:p w:rsidR="00000000" w:rsidRPr="00BD5CC5" w:rsidP="00BD5CC5">
      <w:pPr>
        <w:pStyle w:val="ListBullet"/>
      </w:pPr>
      <w:r w:rsidRPr="00BD5CC5">
        <w:t>roles and responsibilities of those involved in assisting with medications and limitations of own role</w:t>
      </w:r>
    </w:p>
    <w:p w:rsidR="00000000" w:rsidRPr="00BD5CC5" w:rsidP="00BD5CC5">
      <w:pPr>
        <w:pStyle w:val="ListBullet"/>
      </w:pPr>
      <w:r w:rsidRPr="00BD5CC5">
        <w:t>scheduled medications and interpretation of scheduling:</w:t>
      </w:r>
    </w:p>
    <w:p w:rsidR="00000000" w:rsidRPr="00BD5CC5" w:rsidP="00BD5CC5">
      <w:pPr>
        <w:pStyle w:val="ListBullet2"/>
      </w:pPr>
      <w:r w:rsidRPr="00BD5CC5">
        <w:t>sche</w:t>
      </w:r>
      <w:r w:rsidRPr="00BD5CC5">
        <w:t>dule 2</w:t>
      </w:r>
    </w:p>
    <w:p w:rsidR="00000000" w:rsidRPr="00BD5CC5" w:rsidP="00BD5CC5">
      <w:pPr>
        <w:pStyle w:val="ListBullet2"/>
      </w:pPr>
      <w:r w:rsidRPr="00BD5CC5">
        <w:t>schedule 3</w:t>
      </w:r>
    </w:p>
    <w:p w:rsidR="00000000" w:rsidRPr="00BD5CC5" w:rsidP="00BD5CC5">
      <w:pPr>
        <w:pStyle w:val="ListBullet2"/>
      </w:pPr>
      <w:r w:rsidRPr="00BD5CC5">
        <w:t>schedule 4</w:t>
      </w:r>
    </w:p>
    <w:p w:rsidR="00000000" w:rsidRPr="00BD5CC5" w:rsidP="00BD5CC5">
      <w:pPr>
        <w:pStyle w:val="ListBullet2"/>
      </w:pPr>
      <w:r w:rsidRPr="00BD5CC5">
        <w:t>schedule 8</w:t>
      </w:r>
    </w:p>
    <w:p w:rsidR="00000000" w:rsidRPr="00BD5CC5" w:rsidP="00BD5CC5">
      <w:pPr>
        <w:pStyle w:val="ListBullet"/>
      </w:pPr>
      <w:r w:rsidRPr="00BD5CC5">
        <w:t>forms of medication, and how they are handled, administered and stored, including:</w:t>
      </w:r>
    </w:p>
    <w:p w:rsidR="00000000" w:rsidRPr="00BD5CC5" w:rsidP="00BD5CC5">
      <w:pPr>
        <w:pStyle w:val="ListBullet2"/>
      </w:pPr>
      <w:r w:rsidRPr="00BD5CC5">
        <w:t>capsules</w:t>
      </w:r>
    </w:p>
    <w:p w:rsidR="00000000" w:rsidRPr="00BD5CC5" w:rsidP="00BD5CC5">
      <w:pPr>
        <w:pStyle w:val="ListBullet2"/>
      </w:pPr>
      <w:r w:rsidRPr="00BD5CC5">
        <w:t>drops</w:t>
      </w:r>
    </w:p>
    <w:p w:rsidR="00000000" w:rsidRPr="00BD5CC5" w:rsidP="00BD5CC5">
      <w:pPr>
        <w:pStyle w:val="ListBullet2"/>
      </w:pPr>
      <w:r w:rsidRPr="00BD5CC5">
        <w:t>inhalants</w:t>
      </w:r>
    </w:p>
    <w:p w:rsidR="00000000" w:rsidRPr="00BD5CC5" w:rsidP="00BD5CC5">
      <w:pPr>
        <w:pStyle w:val="ListBullet2"/>
      </w:pPr>
      <w:r w:rsidRPr="00BD5CC5">
        <w:t>liquid</w:t>
      </w:r>
    </w:p>
    <w:p w:rsidR="00000000" w:rsidRPr="00BD5CC5" w:rsidP="00BD5CC5">
      <w:pPr>
        <w:pStyle w:val="ListBullet2"/>
      </w:pPr>
      <w:r w:rsidRPr="00BD5CC5">
        <w:t>lotion and cream</w:t>
      </w:r>
    </w:p>
    <w:p w:rsidR="00000000" w:rsidRPr="00BD5CC5" w:rsidP="00BD5CC5">
      <w:pPr>
        <w:pStyle w:val="ListBullet2"/>
      </w:pPr>
      <w:r w:rsidRPr="00BD5CC5">
        <w:t>ointments</w:t>
      </w:r>
    </w:p>
    <w:p w:rsidR="00000000" w:rsidRPr="00BD5CC5" w:rsidP="00BD5CC5">
      <w:pPr>
        <w:pStyle w:val="ListBullet2"/>
      </w:pPr>
      <w:r w:rsidRPr="00BD5CC5">
        <w:t>patches</w:t>
      </w:r>
    </w:p>
    <w:p w:rsidR="00000000" w:rsidRPr="00BD5CC5" w:rsidP="00BD5CC5">
      <w:pPr>
        <w:pStyle w:val="ListBullet2"/>
      </w:pPr>
      <w:r w:rsidRPr="00BD5CC5">
        <w:t>powder</w:t>
      </w:r>
    </w:p>
    <w:p w:rsidR="00000000" w:rsidRPr="00BD5CC5" w:rsidP="00BD5CC5">
      <w:pPr>
        <w:pStyle w:val="ListBullet2"/>
      </w:pPr>
      <w:r w:rsidRPr="00BD5CC5">
        <w:t>tablets</w:t>
      </w:r>
    </w:p>
    <w:p w:rsidR="00000000" w:rsidRPr="00BD5CC5" w:rsidP="00BD5CC5">
      <w:pPr>
        <w:pStyle w:val="ListBullet2"/>
      </w:pPr>
      <w:r w:rsidRPr="00BD5CC5">
        <w:t>wafers</w:t>
      </w:r>
    </w:p>
    <w:p w:rsidR="00000000" w:rsidRPr="00BD5CC5" w:rsidP="00BD5CC5">
      <w:pPr>
        <w:pStyle w:val="ListBullet2"/>
      </w:pPr>
      <w:r w:rsidRPr="00BD5CC5">
        <w:t>pessary</w:t>
      </w:r>
    </w:p>
    <w:p w:rsidR="00000000" w:rsidRPr="00BD5CC5" w:rsidP="00BD5CC5">
      <w:pPr>
        <w:pStyle w:val="ListBullet2"/>
      </w:pPr>
      <w:r w:rsidRPr="00BD5CC5">
        <w:t>suppository</w:t>
      </w:r>
    </w:p>
    <w:p w:rsidR="00000000" w:rsidRPr="00BD5CC5" w:rsidP="00BD5CC5">
      <w:pPr>
        <w:pStyle w:val="ListBullet"/>
      </w:pPr>
      <w:r w:rsidRPr="00BD5CC5">
        <w:t xml:space="preserve">basic pharmacology of medications, including: </w:t>
      </w:r>
    </w:p>
    <w:p w:rsidR="00000000" w:rsidRPr="00BD5CC5" w:rsidP="00BD5CC5">
      <w:pPr>
        <w:pStyle w:val="ListBullet2"/>
      </w:pPr>
      <w:r w:rsidRPr="00BD5CC5">
        <w:t>pharmacodynamics (biochemical and physiological effects of commonly used pharmacology on the body)</w:t>
      </w:r>
    </w:p>
    <w:p w:rsidR="00000000" w:rsidRPr="00BD5CC5" w:rsidP="00BD5CC5">
      <w:pPr>
        <w:pStyle w:val="ListBullet2"/>
      </w:pPr>
      <w:r w:rsidRPr="00BD5CC5">
        <w:t>pharmacokinetics (the action of commonly used pharmacology in the body over a period of time, including the p</w:t>
      </w:r>
      <w:r w:rsidRPr="00BD5CC5">
        <w:t>rocesses of absorption) pharmacotherapeutics (therapeutic uses and effects of pharmacology used for common medical conditions)</w:t>
      </w:r>
    </w:p>
    <w:p w:rsidR="00000000" w:rsidRPr="00BD5CC5" w:rsidP="00BD5CC5">
      <w:pPr>
        <w:pStyle w:val="ListBullet2"/>
      </w:pPr>
      <w:r w:rsidRPr="00BD5CC5">
        <w:t>toxicology (adverse effects of chemicals on the organs of the body)</w:t>
      </w:r>
    </w:p>
    <w:p w:rsidR="00000000" w:rsidRPr="00BD5CC5" w:rsidP="00BD5CC5">
      <w:pPr>
        <w:pStyle w:val="ListBullet"/>
      </w:pPr>
      <w:r w:rsidRPr="00BD5CC5">
        <w:t>key aspects of medication groups and categories and their ge</w:t>
      </w:r>
      <w:r w:rsidRPr="00BD5CC5">
        <w:t>neral effect on body systems and major disorders, including:</w:t>
      </w:r>
    </w:p>
    <w:p w:rsidR="00000000" w:rsidRPr="00BD5CC5" w:rsidP="00BD5CC5">
      <w:pPr>
        <w:pStyle w:val="ListBullet2"/>
      </w:pPr>
      <w:r w:rsidRPr="00BD5CC5">
        <w:t>central nervous system</w:t>
      </w:r>
    </w:p>
    <w:p w:rsidR="00000000" w:rsidRPr="00BD5CC5" w:rsidP="00BD5CC5">
      <w:pPr>
        <w:pStyle w:val="ListBullet2"/>
      </w:pPr>
      <w:r w:rsidRPr="00BD5CC5">
        <w:t>musculo-skeletal system</w:t>
      </w:r>
    </w:p>
    <w:p w:rsidR="00000000" w:rsidRPr="00BD5CC5" w:rsidP="00BD5CC5">
      <w:pPr>
        <w:pStyle w:val="ListBullet2"/>
      </w:pPr>
      <w:r w:rsidRPr="00BD5CC5">
        <w:t>peripheral nervous system</w:t>
      </w:r>
    </w:p>
    <w:p w:rsidR="00000000" w:rsidRPr="00BD5CC5" w:rsidP="00BD5CC5">
      <w:pPr>
        <w:pStyle w:val="ListBullet2"/>
      </w:pPr>
      <w:r w:rsidRPr="00BD5CC5">
        <w:t>endocrine system</w:t>
      </w:r>
    </w:p>
    <w:p w:rsidR="00000000" w:rsidRPr="00BD5CC5" w:rsidP="00BD5CC5">
      <w:pPr>
        <w:pStyle w:val="ListBullet2"/>
      </w:pPr>
      <w:r w:rsidRPr="00BD5CC5">
        <w:t>cardiovascular system</w:t>
      </w:r>
    </w:p>
    <w:p w:rsidR="00000000" w:rsidRPr="00BD5CC5" w:rsidP="00BD5CC5">
      <w:pPr>
        <w:pStyle w:val="ListBullet2"/>
      </w:pPr>
      <w:r w:rsidRPr="00BD5CC5">
        <w:t>respiratory system</w:t>
      </w:r>
    </w:p>
    <w:p w:rsidR="00000000" w:rsidRPr="00BD5CC5" w:rsidP="00BD5CC5">
      <w:pPr>
        <w:pStyle w:val="ListBullet2"/>
      </w:pPr>
      <w:r w:rsidRPr="00BD5CC5">
        <w:t>gastrointestinal system</w:t>
      </w:r>
    </w:p>
    <w:p w:rsidR="00000000" w:rsidRPr="00BD5CC5" w:rsidP="00BD5CC5">
      <w:pPr>
        <w:pStyle w:val="ListBullet2"/>
      </w:pPr>
      <w:r w:rsidRPr="00BD5CC5">
        <w:t xml:space="preserve">renal/urinary system </w:t>
      </w:r>
    </w:p>
    <w:p w:rsidR="00000000" w:rsidRPr="00BD5CC5" w:rsidP="00BD5CC5">
      <w:pPr>
        <w:pStyle w:val="ListBullet2"/>
      </w:pPr>
      <w:r w:rsidRPr="00BD5CC5">
        <w:t>reproductive syst</w:t>
      </w:r>
      <w:r w:rsidRPr="00BD5CC5">
        <w:t>ems</w:t>
      </w:r>
    </w:p>
    <w:p w:rsidR="00000000" w:rsidRPr="00BD5CC5" w:rsidP="00BD5CC5">
      <w:pPr>
        <w:pStyle w:val="ListBullet2"/>
      </w:pPr>
      <w:r w:rsidRPr="00BD5CC5">
        <w:t>immune system</w:t>
      </w:r>
    </w:p>
    <w:p w:rsidR="00000000" w:rsidRPr="00BD5CC5" w:rsidP="00BD5CC5">
      <w:pPr>
        <w:pStyle w:val="ListBullet2"/>
      </w:pPr>
      <w:r w:rsidRPr="00BD5CC5">
        <w:t>integumentary system</w:t>
      </w:r>
    </w:p>
    <w:p w:rsidR="00000000" w:rsidRPr="00BD5CC5" w:rsidP="00BD5CC5">
      <w:pPr>
        <w:pStyle w:val="ListBullet2"/>
      </w:pPr>
      <w:r w:rsidRPr="00BD5CC5">
        <w:t>eye, ear and special senses</w:t>
      </w:r>
    </w:p>
    <w:p w:rsidR="00000000" w:rsidRPr="00BD5CC5" w:rsidP="00BD5CC5">
      <w:pPr>
        <w:pStyle w:val="ListBullet2"/>
      </w:pPr>
      <w:r w:rsidRPr="00BD5CC5">
        <w:t>micro-organisms</w:t>
      </w:r>
    </w:p>
    <w:p w:rsidR="00000000" w:rsidRPr="00BD5CC5" w:rsidP="00BD5CC5">
      <w:pPr>
        <w:pStyle w:val="ListBullet2"/>
      </w:pPr>
      <w:r w:rsidRPr="00BD5CC5">
        <w:t>neoplastic disease</w:t>
      </w:r>
    </w:p>
    <w:p w:rsidR="00000000" w:rsidRPr="00BD5CC5" w:rsidP="00BD5CC5">
      <w:pPr>
        <w:pStyle w:val="ListBullet"/>
      </w:pPr>
      <w:r w:rsidRPr="00BD5CC5">
        <w:t xml:space="preserve">major factors that affect the action of drugs, including: </w:t>
      </w:r>
    </w:p>
    <w:p w:rsidR="00000000" w:rsidRPr="00BD5CC5" w:rsidP="00BD5CC5">
      <w:pPr>
        <w:pStyle w:val="ListBullet2"/>
      </w:pPr>
      <w:r w:rsidRPr="00BD5CC5">
        <w:t>age</w:t>
      </w:r>
    </w:p>
    <w:p w:rsidR="00000000" w:rsidRPr="00BD5CC5" w:rsidP="00BD5CC5">
      <w:pPr>
        <w:pStyle w:val="ListBullet2"/>
      </w:pPr>
      <w:r w:rsidRPr="00BD5CC5">
        <w:t xml:space="preserve">disease </w:t>
      </w:r>
    </w:p>
    <w:p w:rsidR="00000000" w:rsidRPr="00BD5CC5" w:rsidP="00BD5CC5">
      <w:pPr>
        <w:pStyle w:val="ListBullet2"/>
      </w:pPr>
      <w:r w:rsidRPr="00BD5CC5">
        <w:t>processes</w:t>
      </w:r>
    </w:p>
    <w:p w:rsidR="00000000" w:rsidRPr="00BD5CC5" w:rsidP="00BD5CC5">
      <w:pPr>
        <w:pStyle w:val="ListBullet2"/>
      </w:pPr>
      <w:r w:rsidRPr="00BD5CC5">
        <w:t>nutrition</w:t>
      </w:r>
    </w:p>
    <w:p w:rsidR="00000000" w:rsidRPr="00BD5CC5" w:rsidP="00BD5CC5">
      <w:pPr>
        <w:pStyle w:val="ListBullet2"/>
      </w:pPr>
      <w:r w:rsidRPr="00BD5CC5">
        <w:t>hydration</w:t>
      </w:r>
    </w:p>
    <w:p w:rsidR="00000000" w:rsidRPr="00BD5CC5" w:rsidP="00BD5CC5">
      <w:pPr>
        <w:pStyle w:val="ListBullet"/>
      </w:pPr>
      <w:r w:rsidRPr="00BD5CC5">
        <w:t>cross infection and prevention strategies including:</w:t>
      </w:r>
    </w:p>
    <w:p w:rsidR="00000000" w:rsidRPr="00BD5CC5" w:rsidP="00BD5CC5">
      <w:pPr>
        <w:pStyle w:val="ListBullet2"/>
      </w:pPr>
      <w:r w:rsidRPr="00BD5CC5">
        <w:t>correct hand washing techniques</w:t>
      </w:r>
    </w:p>
    <w:p w:rsidR="00000000" w:rsidRPr="00BD5CC5" w:rsidP="00BD5CC5">
      <w:pPr>
        <w:pStyle w:val="ListBullet2"/>
      </w:pPr>
      <w:r w:rsidRPr="00BD5CC5">
        <w:t>glove usage</w:t>
      </w:r>
    </w:p>
    <w:p w:rsidR="00000000" w:rsidRPr="00BD5CC5" w:rsidP="00BD5CC5">
      <w:pPr>
        <w:pStyle w:val="ListBullet2"/>
      </w:pPr>
      <w:r w:rsidRPr="00BD5CC5">
        <w:t xml:space="preserve">awareness of how infection is spread </w:t>
      </w:r>
    </w:p>
    <w:p w:rsidR="00000000" w:rsidRPr="00BD5CC5" w:rsidP="00BD5CC5">
      <w:pPr>
        <w:pStyle w:val="ListBullet"/>
      </w:pPr>
      <w:r w:rsidRPr="00BD5CC5">
        <w:t>procedures and legal requirements for different medication administration routes and consequences of incorrect use:</w:t>
      </w:r>
    </w:p>
    <w:p w:rsidR="00000000" w:rsidRPr="00BD5CC5" w:rsidP="00BD5CC5">
      <w:pPr>
        <w:pStyle w:val="ListBullet2"/>
      </w:pPr>
      <w:r w:rsidRPr="00BD5CC5">
        <w:t>aural</w:t>
      </w:r>
    </w:p>
    <w:p w:rsidR="00000000" w:rsidRPr="00BD5CC5" w:rsidP="00BD5CC5">
      <w:pPr>
        <w:pStyle w:val="ListBullet2"/>
      </w:pPr>
      <w:r w:rsidRPr="00BD5CC5">
        <w:t>insulin by sub-cutaneous injection using pre-loaded syringes or pens</w:t>
      </w:r>
    </w:p>
    <w:p w:rsidR="00000000" w:rsidRPr="00BD5CC5" w:rsidP="00BD5CC5">
      <w:pPr>
        <w:pStyle w:val="ListBullet2"/>
      </w:pPr>
      <w:r w:rsidRPr="00BD5CC5">
        <w:t>intranasal</w:t>
      </w:r>
    </w:p>
    <w:p w:rsidR="00000000" w:rsidRPr="00BD5CC5" w:rsidP="00BD5CC5">
      <w:pPr>
        <w:pStyle w:val="ListBullet2"/>
      </w:pPr>
      <w:r w:rsidRPr="00BD5CC5">
        <w:t>ocular</w:t>
      </w:r>
    </w:p>
    <w:p w:rsidR="00000000" w:rsidRPr="00BD5CC5" w:rsidP="00BD5CC5">
      <w:pPr>
        <w:pStyle w:val="ListBullet2"/>
      </w:pPr>
      <w:r w:rsidRPr="00BD5CC5">
        <w:t>oral</w:t>
      </w:r>
    </w:p>
    <w:p w:rsidR="00000000" w:rsidRPr="00BD5CC5" w:rsidP="00BD5CC5">
      <w:pPr>
        <w:pStyle w:val="ListBullet2"/>
      </w:pPr>
      <w:r w:rsidRPr="00BD5CC5">
        <w:t>rectal</w:t>
      </w:r>
    </w:p>
    <w:p w:rsidR="00000000" w:rsidRPr="00BD5CC5" w:rsidP="00BD5CC5">
      <w:pPr>
        <w:pStyle w:val="ListBullet2"/>
      </w:pPr>
      <w:r w:rsidRPr="00BD5CC5">
        <w:t>topical (including transdermal)</w:t>
      </w:r>
    </w:p>
    <w:p w:rsidR="00000000" w:rsidRPr="00BD5CC5" w:rsidP="00BD5CC5">
      <w:pPr>
        <w:pStyle w:val="ListBullet2"/>
      </w:pPr>
      <w:r w:rsidRPr="00BD5CC5">
        <w:t>vaginal</w:t>
      </w:r>
    </w:p>
    <w:p w:rsidR="00000000" w:rsidRPr="00BD5CC5" w:rsidP="00BD5CC5">
      <w:pPr>
        <w:pStyle w:val="ListBullet"/>
      </w:pPr>
      <w:r w:rsidRPr="00BD5CC5">
        <w:t>substance incompatibilities and contra-indications, including those related to:</w:t>
      </w:r>
    </w:p>
    <w:p w:rsidR="00000000" w:rsidRPr="00BD5CC5" w:rsidP="00BD5CC5">
      <w:pPr>
        <w:pStyle w:val="ListBullet2"/>
      </w:pPr>
      <w:r w:rsidRPr="00BD5CC5">
        <w:t>warfarin and aspirin</w:t>
      </w:r>
    </w:p>
    <w:p w:rsidR="00000000" w:rsidRPr="00BD5CC5" w:rsidP="00BD5CC5">
      <w:pPr>
        <w:pStyle w:val="ListBullet2"/>
      </w:pPr>
      <w:r w:rsidRPr="00BD5CC5">
        <w:t>medicati</w:t>
      </w:r>
      <w:r w:rsidRPr="00BD5CC5">
        <w:t>on and diet</w:t>
      </w:r>
    </w:p>
    <w:p w:rsidR="00000000" w:rsidRPr="00BD5CC5" w:rsidP="00BD5CC5">
      <w:pPr>
        <w:pStyle w:val="ListBullet2"/>
      </w:pPr>
      <w:r w:rsidRPr="00BD5CC5">
        <w:t>medication and sunlight</w:t>
      </w:r>
    </w:p>
    <w:p w:rsidR="00000000" w:rsidRPr="00BD5CC5" w:rsidP="00BD5CC5">
      <w:pPr>
        <w:pStyle w:val="ListBullet2"/>
      </w:pPr>
      <w:r w:rsidRPr="00BD5CC5">
        <w:t>infection</w:t>
      </w:r>
    </w:p>
    <w:p w:rsidR="00000000" w:rsidRPr="00BD5CC5" w:rsidP="00BD5CC5">
      <w:pPr>
        <w:pStyle w:val="ListBullet2"/>
      </w:pPr>
      <w:r w:rsidRPr="00BD5CC5">
        <w:t>alcohol</w:t>
      </w:r>
    </w:p>
    <w:p w:rsidR="00000000" w:rsidRPr="00BD5CC5" w:rsidP="00BD5CC5">
      <w:pPr>
        <w:pStyle w:val="ListBullet"/>
      </w:pPr>
      <w:r w:rsidRPr="00BD5CC5">
        <w:t>basic understanding of:</w:t>
      </w:r>
    </w:p>
    <w:p w:rsidR="00000000" w:rsidRPr="00BD5CC5" w:rsidP="00BD5CC5">
      <w:pPr>
        <w:pStyle w:val="ListBullet2"/>
      </w:pPr>
      <w:r w:rsidRPr="00BD5CC5">
        <w:t>anaphylactic reactions</w:t>
      </w:r>
    </w:p>
    <w:p w:rsidR="00000000" w:rsidRPr="00BD5CC5" w:rsidP="00BD5CC5">
      <w:pPr>
        <w:pStyle w:val="ListBullet2"/>
      </w:pPr>
      <w:r w:rsidRPr="00BD5CC5">
        <w:t>side effects</w:t>
      </w:r>
    </w:p>
    <w:p w:rsidR="00000000" w:rsidRPr="00BD5CC5" w:rsidP="00BD5CC5">
      <w:pPr>
        <w:pStyle w:val="ListBullet2"/>
      </w:pPr>
      <w:r w:rsidRPr="00BD5CC5">
        <w:t>precautions</w:t>
      </w:r>
    </w:p>
    <w:p w:rsidR="00000000" w:rsidRPr="00BD5CC5" w:rsidP="00BD5CC5">
      <w:pPr>
        <w:pStyle w:val="ListBullet"/>
      </w:pPr>
      <w:r w:rsidRPr="00BD5CC5">
        <w:t>characteristics of at least twenty commonly used medications in the area of work, including pres</w:t>
      </w:r>
      <w:r w:rsidRPr="00BD5CC5">
        <w:t>cribed and over the counter medications:</w:t>
      </w:r>
    </w:p>
    <w:p w:rsidR="00000000" w:rsidRPr="00BD5CC5" w:rsidP="00BD5CC5">
      <w:pPr>
        <w:pStyle w:val="ListBullet2"/>
      </w:pPr>
      <w:r w:rsidRPr="00BD5CC5">
        <w:t>purpose</w:t>
      </w:r>
    </w:p>
    <w:p w:rsidR="00000000" w:rsidRPr="00BD5CC5" w:rsidP="00BD5CC5">
      <w:pPr>
        <w:pStyle w:val="ListBullet2"/>
      </w:pPr>
      <w:r w:rsidRPr="00BD5CC5">
        <w:t>expected effects and potential reactions, including anaphylactic reactions</w:t>
      </w:r>
    </w:p>
    <w:p w:rsidR="00000000" w:rsidRPr="00BD5CC5" w:rsidP="00BD5CC5">
      <w:pPr>
        <w:pStyle w:val="ListBullet2"/>
      </w:pPr>
      <w:r w:rsidRPr="00BD5CC5">
        <w:t>contraindications for use</w:t>
      </w:r>
    </w:p>
    <w:p w:rsidR="00000000" w:rsidRPr="00BD5CC5" w:rsidP="00BD5CC5">
      <w:pPr>
        <w:pStyle w:val="ListBullet2"/>
      </w:pPr>
      <w:r w:rsidRPr="00BD5CC5">
        <w:t>consequences of incorrect use</w:t>
      </w:r>
    </w:p>
    <w:p w:rsidR="00000000" w:rsidRPr="00BD5CC5" w:rsidP="00BD5CC5">
      <w:pPr>
        <w:pStyle w:val="ListBullet2"/>
      </w:pPr>
      <w:r w:rsidRPr="00BD5CC5">
        <w:t>storage requirements</w:t>
      </w:r>
    </w:p>
    <w:p w:rsidR="00000000" w:rsidRPr="00BD5CC5" w:rsidP="00BD5CC5">
      <w:pPr>
        <w:pStyle w:val="ListBullet2"/>
      </w:pPr>
      <w:r w:rsidRPr="00BD5CC5">
        <w:t>disposal requirements</w:t>
      </w:r>
    </w:p>
    <w:p w:rsidR="00000000" w:rsidRPr="00BD5CC5" w:rsidP="00BD5CC5">
      <w:pPr>
        <w:pStyle w:val="ListBullet"/>
      </w:pPr>
      <w:r w:rsidRPr="00BD5CC5">
        <w:t xml:space="preserve">documentation requirements for </w:t>
      </w:r>
      <w:r w:rsidRPr="00BD5CC5">
        <w:t>medication administration:</w:t>
      </w:r>
    </w:p>
    <w:p w:rsidR="00000000" w:rsidRPr="00BD5CC5" w:rsidP="00BD5CC5">
      <w:pPr>
        <w:pStyle w:val="ListBullet2"/>
      </w:pPr>
      <w:r w:rsidRPr="00BD5CC5">
        <w:t>purpose</w:t>
      </w:r>
    </w:p>
    <w:p w:rsidR="00000000" w:rsidRPr="00BD5CC5" w:rsidP="00BD5CC5">
      <w:pPr>
        <w:pStyle w:val="ListBullet2"/>
      </w:pPr>
      <w:r w:rsidRPr="00BD5CC5">
        <w:t>potential impacts of errors and reasons for error</w:t>
      </w:r>
    </w:p>
    <w:p w:rsidR="00000000" w:rsidRPr="00BD5CC5" w:rsidP="00BD5CC5">
      <w:pPr>
        <w:pStyle w:val="ListBullet2"/>
      </w:pPr>
      <w:r w:rsidRPr="00BD5CC5">
        <w:t>medication charts, their role and procedures for use</w:t>
      </w:r>
    </w:p>
    <w:p w:rsidR="00000000" w:rsidRPr="00BD5CC5" w:rsidP="00BD5CC5">
      <w:pPr>
        <w:pStyle w:val="AllowPageBreak"/>
      </w:pPr>
    </w:p>
    <w:p w:rsidR="00000000" w:rsidRPr="00BD5CC5" w:rsidP="00BD5CC5">
      <w:pPr>
        <w:pStyle w:val="Heading1"/>
      </w:pPr>
      <w:bookmarkStart w:id="4" w:name="O_743630"/>
      <w:bookmarkEnd w:id="4"/>
      <w:r w:rsidRPr="00BD5CC5">
        <w:t>Assessment Conditions</w:t>
      </w:r>
    </w:p>
    <w:p w:rsidR="00000000" w:rsidRPr="00BD5CC5" w:rsidP="00195313">
      <w:pPr>
        <w:pStyle w:val="BodyText"/>
      </w:pPr>
      <w:r w:rsidRPr="00BD5CC5">
        <w:t>Skills must have been demonstrated in the workplace with the addition of simulations and scenarios where the full range of contexts and situations has not been provided in the workplace. The following aspects of the performance evidence must have been demo</w:t>
      </w:r>
      <w:r w:rsidRPr="00BD5CC5">
        <w:t xml:space="preserve">nstrated using simulation prior to demonstration in the workplace or with members of the general public and where state/territory legislation prevents this practice in the workplace: </w:t>
      </w:r>
    </w:p>
    <w:p w:rsidR="00000000" w:rsidRPr="00BD5CC5" w:rsidP="00BD5CC5">
      <w:pPr>
        <w:pStyle w:val="ListBullet"/>
      </w:pPr>
      <w:r w:rsidRPr="00BD5CC5">
        <w:t>calculated medications with 100% accuracy and used the rights of medica</w:t>
      </w:r>
      <w:r w:rsidRPr="00BD5CC5">
        <w:t>tion and standard precautions to administer medication</w:t>
      </w:r>
    </w:p>
    <w:p w:rsidR="00000000" w:rsidRPr="00BD5CC5" w:rsidP="00BD5CC5">
      <w:pPr>
        <w:pStyle w:val="BodyText"/>
      </w:pPr>
    </w:p>
    <w:p w:rsidR="00000000" w:rsidRPr="00BD5CC5" w:rsidP="00195313">
      <w:pPr>
        <w:pStyle w:val="BodyText"/>
      </w:pPr>
      <w:r w:rsidRPr="00BD5CC5">
        <w:t xml:space="preserve">The following conditions must be met for this unit: </w:t>
      </w:r>
    </w:p>
    <w:p w:rsidR="00000000" w:rsidRPr="00BD5CC5" w:rsidP="00BD5CC5">
      <w:pPr>
        <w:pStyle w:val="ListBullet"/>
      </w:pPr>
      <w:r w:rsidRPr="00BD5CC5">
        <w:t xml:space="preserve">use of suitable facilities, equipment and resources, including: </w:t>
      </w:r>
    </w:p>
    <w:p w:rsidR="00000000" w:rsidRPr="00BD5CC5" w:rsidP="00BD5CC5">
      <w:pPr>
        <w:pStyle w:val="ListBullet2"/>
      </w:pPr>
      <w:r w:rsidRPr="00BD5CC5">
        <w:t>placebo medication, administration equipment, charts and documentation</w:t>
      </w:r>
    </w:p>
    <w:p w:rsidR="00000000" w:rsidRPr="00BD5CC5" w:rsidP="00BD5CC5">
      <w:pPr>
        <w:pStyle w:val="ListBullet2"/>
      </w:pPr>
      <w:r w:rsidRPr="00BD5CC5">
        <w:t>individua</w:t>
      </w:r>
      <w:r w:rsidRPr="00BD5CC5">
        <w:t>lised plans</w:t>
      </w:r>
    </w:p>
    <w:p w:rsidR="00000000" w:rsidRPr="00BD5CC5" w:rsidP="00BD5CC5">
      <w:pPr>
        <w:pStyle w:val="ListBullet2"/>
      </w:pPr>
      <w:r w:rsidRPr="00BD5CC5">
        <w:t>workplace policies and procedures</w:t>
      </w:r>
    </w:p>
    <w:p w:rsidR="00000000" w:rsidRPr="00BD5CC5" w:rsidP="00BD5CC5">
      <w:pPr>
        <w:pStyle w:val="BodyText"/>
      </w:pPr>
    </w:p>
    <w:p w:rsidR="00000000" w:rsidRPr="00BD5CC5" w:rsidP="00195313">
      <w:pPr>
        <w:pStyle w:val="BodyText"/>
      </w:pPr>
      <w:r w:rsidRPr="00BD5CC5">
        <w:t>Assessors must satisfy the Standards for Registered Training Organisations (RTOs) 2015/AQTF mandatory competency requirements for assessors.</w:t>
      </w:r>
    </w:p>
    <w:p w:rsidR="00000000" w:rsidRPr="00BD5CC5" w:rsidP="00195313">
      <w:pPr>
        <w:pStyle w:val="BodyText"/>
      </w:pPr>
      <w:r w:rsidRPr="00BD5CC5">
        <w:t>In addition, assessors must be a registered nurse or registered enr</w:t>
      </w:r>
      <w:r w:rsidRPr="00BD5CC5">
        <w:t>olled nurse or registered Aboriginal and Torres Strait Islander health practitioner.</w:t>
      </w:r>
    </w:p>
    <w:p w:rsidR="00000000" w:rsidRPr="00BD5CC5" w:rsidP="00BD5CC5">
      <w:pPr>
        <w:pStyle w:val="Heading1"/>
      </w:pPr>
      <w:bookmarkStart w:id="5" w:name="O_743633"/>
      <w:bookmarkEnd w:id="5"/>
      <w:r w:rsidRPr="00BD5CC5">
        <w:t>Links</w:t>
      </w:r>
    </w:p>
    <w:p w:rsidR="00000000" w:rsidRPr="00BD5CC5" w:rsidP="00195313">
      <w:pPr>
        <w:pStyle w:val="BodyText"/>
      </w:pPr>
      <w:r w:rsidRPr="00BD5C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68F5">
        <w:rPr>
          <w:rStyle w:val="Hyperlink"/>
        </w:rPr>
        <w:t>https://vetnet.gov.au/Pages/TrainingDocs.aspx?q=ced1390f-48d9-4ab0-bd50-b015e5485705</w:t>
      </w:r>
      <w:r>
        <w:fldChar w:fldCharType="end"/>
      </w:r>
    </w:p>
    <w:p w:rsidR="00000000" w:rsidRPr="00BD5CC5" w:rsidP="00BD5CC5"/>
    <w:sectPr w:rsidSect="00BD5C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rsidRPr="00195313" w:rsidP="00195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13" w:rsidP="00BD5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313" w:rsidP="00BD5C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95313" w:rsidP="00BD5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CC5" w:rsidRPr="00195313" w:rsidP="00195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13" w:rsidRPr="002D2AF8" w:rsidP="00BD5CC5">
    <w:pPr>
      <w:pStyle w:val="Header"/>
      <w:framePr w:wrap="around"/>
    </w:pPr>
    <w:r>
      <w:fldChar w:fldCharType="begin"/>
    </w:r>
    <w:r>
      <w:instrText xml:space="preserve"> TITLE   \* MERGEFORMAT </w:instrText>
    </w:r>
    <w:r>
      <w:fldChar w:fldCharType="separate"/>
    </w:r>
    <w:r>
      <w:t>Assessment Requirements for HLTHPS007 Administer and monitor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95313" w:rsidP="00BD5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45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45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EA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CC5"/>
    <w:pPr>
      <w:spacing w:before="360" w:after="60"/>
      <w:outlineLvl w:val="0"/>
    </w:pPr>
    <w:rPr>
      <w:sz w:val="32"/>
    </w:rPr>
  </w:style>
  <w:style w:type="paragraph" w:styleId="Heading2">
    <w:name w:val="heading 2"/>
    <w:basedOn w:val="HeadingBase"/>
    <w:next w:val="BodyText"/>
    <w:link w:val="Heading2Char"/>
    <w:qFormat/>
    <w:rsid w:val="00BD5CC5"/>
    <w:pPr>
      <w:keepLines/>
      <w:spacing w:before="240" w:after="120"/>
      <w:outlineLvl w:val="1"/>
    </w:pPr>
    <w:rPr>
      <w:sz w:val="28"/>
      <w:szCs w:val="40"/>
    </w:rPr>
  </w:style>
  <w:style w:type="paragraph" w:styleId="Heading3">
    <w:name w:val="heading 3"/>
    <w:basedOn w:val="HeadingBase"/>
    <w:next w:val="BodyText"/>
    <w:link w:val="Heading3Char"/>
    <w:qFormat/>
    <w:rsid w:val="00BD5CC5"/>
    <w:pPr>
      <w:spacing w:before="180" w:after="120"/>
      <w:outlineLvl w:val="2"/>
    </w:pPr>
    <w:rPr>
      <w:spacing w:val="-10"/>
      <w:kern w:val="32"/>
    </w:rPr>
  </w:style>
  <w:style w:type="paragraph" w:styleId="Heading4">
    <w:name w:val="heading 4"/>
    <w:basedOn w:val="HeadingBase"/>
    <w:next w:val="BodyText"/>
    <w:link w:val="Heading4Char"/>
    <w:qFormat/>
    <w:rsid w:val="00BD5CC5"/>
    <w:pPr>
      <w:spacing w:before="160" w:after="120"/>
      <w:outlineLvl w:val="3"/>
    </w:pPr>
    <w:rPr>
      <w:sz w:val="22"/>
    </w:rPr>
  </w:style>
  <w:style w:type="paragraph" w:styleId="Heading5">
    <w:name w:val="heading 5"/>
    <w:basedOn w:val="HeadingBase"/>
    <w:next w:val="Normal"/>
    <w:link w:val="Heading5Char"/>
    <w:qFormat/>
    <w:rsid w:val="00BD5CC5"/>
    <w:pPr>
      <w:spacing w:before="80"/>
      <w:outlineLvl w:val="4"/>
    </w:pPr>
    <w:rPr>
      <w:color w:val="918585"/>
      <w:sz w:val="20"/>
    </w:rPr>
  </w:style>
  <w:style w:type="paragraph" w:styleId="Heading6">
    <w:name w:val="heading 6"/>
    <w:basedOn w:val="HeadingBase"/>
    <w:next w:val="Normal"/>
    <w:link w:val="Heading6Char"/>
    <w:qFormat/>
    <w:rsid w:val="00BD5CC5"/>
    <w:pPr>
      <w:spacing w:before="60"/>
      <w:outlineLvl w:val="5"/>
    </w:pPr>
    <w:rPr>
      <w:color w:val="918585"/>
      <w:sz w:val="20"/>
    </w:rPr>
  </w:style>
  <w:style w:type="paragraph" w:styleId="Heading7">
    <w:name w:val="heading 7"/>
    <w:basedOn w:val="Normal"/>
    <w:next w:val="Normal"/>
    <w:link w:val="Heading7Char"/>
    <w:qFormat/>
    <w:rsid w:val="00BD5CC5"/>
    <w:pPr>
      <w:ind w:left="720"/>
      <w:outlineLvl w:val="6"/>
    </w:pPr>
    <w:rPr>
      <w:i/>
    </w:rPr>
  </w:style>
  <w:style w:type="paragraph" w:styleId="Heading8">
    <w:name w:val="heading 8"/>
    <w:basedOn w:val="Normal"/>
    <w:next w:val="Normal"/>
    <w:link w:val="Heading8Char"/>
    <w:qFormat/>
    <w:rsid w:val="00BD5CC5"/>
    <w:pPr>
      <w:ind w:left="720"/>
      <w:outlineLvl w:val="7"/>
    </w:pPr>
    <w:rPr>
      <w:i/>
    </w:rPr>
  </w:style>
  <w:style w:type="paragraph" w:styleId="Heading9">
    <w:name w:val="heading 9"/>
    <w:basedOn w:val="Normal"/>
    <w:next w:val="Normal"/>
    <w:link w:val="Heading9Char"/>
    <w:qFormat/>
    <w:rsid w:val="00BD5CC5"/>
    <w:pPr>
      <w:ind w:left="720"/>
      <w:outlineLvl w:val="8"/>
    </w:pPr>
    <w:rPr>
      <w:i/>
    </w:rPr>
  </w:style>
  <w:style w:type="character" w:default="1" w:styleId="DefaultParagraphFont">
    <w:name w:val="Default Paragraph Font"/>
    <w:uiPriority w:val="1"/>
    <w:unhideWhenUsed/>
    <w:rsid w:val="00BD5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CC5"/>
  </w:style>
  <w:style w:type="character" w:customStyle="1" w:styleId="Heading1Char">
    <w:name w:val="Heading 1 Char"/>
    <w:basedOn w:val="DefaultParagraphFont"/>
    <w:link w:val="Heading1"/>
    <w:rsid w:val="00BD5CC5"/>
    <w:rPr>
      <w:rFonts w:ascii="Times New Roman" w:eastAsia="Times New Roman" w:hAnsi="Times New Roman" w:cs="Times New Roman"/>
      <w:b/>
      <w:sz w:val="32"/>
      <w:szCs w:val="20"/>
      <w:lang w:eastAsia="en-US"/>
    </w:rPr>
  </w:style>
  <w:style w:type="paragraph" w:styleId="BodyText">
    <w:name w:val="Body Text"/>
    <w:basedOn w:val="Normal"/>
    <w:link w:val="BodyTextChar"/>
    <w:rsid w:val="00BD5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CC5"/>
    <w:rPr>
      <w:rFonts w:ascii="Times New Roman" w:eastAsia="Times New Roman" w:hAnsi="Times New Roman" w:cs="Times New Roman"/>
      <w:sz w:val="24"/>
      <w:lang w:eastAsia="en-US"/>
    </w:rPr>
  </w:style>
  <w:style w:type="paragraph" w:styleId="ListBullet">
    <w:name w:val="List Bullet"/>
    <w:basedOn w:val="List"/>
    <w:rsid w:val="00BD5CC5"/>
    <w:pPr>
      <w:numPr>
        <w:numId w:val="12"/>
      </w:numPr>
      <w:tabs>
        <w:tab w:val="clear" w:pos="340"/>
      </w:tabs>
      <w:spacing w:before="40" w:after="40"/>
    </w:pPr>
  </w:style>
  <w:style w:type="character" w:customStyle="1" w:styleId="SpecialBold">
    <w:name w:val="Special Bold"/>
    <w:basedOn w:val="DefaultParagraphFont"/>
    <w:rsid w:val="00BD5CC5"/>
    <w:rPr>
      <w:b/>
      <w:spacing w:val="0"/>
    </w:rPr>
  </w:style>
  <w:style w:type="paragraph" w:styleId="ListBullet2">
    <w:name w:val="List Bullet 2"/>
    <w:basedOn w:val="List2"/>
    <w:rsid w:val="00BD5CC5"/>
    <w:pPr>
      <w:numPr>
        <w:numId w:val="13"/>
      </w:numPr>
      <w:tabs>
        <w:tab w:val="clear" w:pos="680"/>
      </w:tabs>
    </w:pPr>
  </w:style>
  <w:style w:type="character" w:styleId="Emphasis">
    <w:name w:val="Emphasis"/>
    <w:basedOn w:val="DefaultParagraphFont"/>
    <w:qFormat/>
    <w:rsid w:val="00BD5CC5"/>
    <w:rPr>
      <w:i/>
    </w:rPr>
  </w:style>
  <w:style w:type="paragraph" w:customStyle="1" w:styleId="SuperHeading">
    <w:name w:val="SuperHeading"/>
    <w:basedOn w:val="Normal"/>
    <w:rsid w:val="00BD5CC5"/>
    <w:pPr>
      <w:spacing w:before="240" w:after="120"/>
      <w:outlineLvl w:val="0"/>
    </w:pPr>
    <w:rPr>
      <w:rFonts w:ascii="Times New Roman" w:hAnsi="Times New Roman"/>
      <w:b/>
      <w:sz w:val="32"/>
    </w:rPr>
  </w:style>
  <w:style w:type="paragraph" w:customStyle="1" w:styleId="AllowPageBreak">
    <w:name w:val="AllowPageBreak"/>
    <w:rsid w:val="00BD5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CC5"/>
    <w:rPr>
      <w:rFonts w:ascii="Courier New" w:eastAsia="Times New Roman" w:hAnsi="Courier New" w:cs="Times New Roman"/>
      <w:i/>
      <w:szCs w:val="20"/>
      <w:lang w:eastAsia="en-US"/>
    </w:rPr>
  </w:style>
  <w:style w:type="paragraph" w:customStyle="1" w:styleId="HeadingBase">
    <w:name w:val="Heading Base"/>
    <w:rsid w:val="00BD5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CC5"/>
    <w:pPr>
      <w:tabs>
        <w:tab w:val="right" w:leader="dot" w:pos="9072"/>
      </w:tabs>
      <w:ind w:left="567"/>
    </w:pPr>
    <w:rPr>
      <w:szCs w:val="22"/>
    </w:rPr>
  </w:style>
  <w:style w:type="paragraph" w:customStyle="1" w:styleId="TOCBase">
    <w:name w:val="TOC Base"/>
    <w:rsid w:val="00BD5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CC5"/>
    <w:pPr>
      <w:tabs>
        <w:tab w:val="right" w:leader="dot" w:pos="9072"/>
      </w:tabs>
      <w:spacing w:before="40" w:after="40"/>
      <w:ind w:left="284"/>
    </w:pPr>
    <w:rPr>
      <w:rFonts w:ascii="Times New Roman" w:hAnsi="Times New Roman"/>
    </w:rPr>
  </w:style>
  <w:style w:type="paragraph" w:styleId="TOC1">
    <w:name w:val="toc 1"/>
    <w:basedOn w:val="TOCBase"/>
    <w:next w:val="Normal"/>
    <w:rsid w:val="00BD5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CC5"/>
    <w:rPr>
      <w:rFonts w:ascii="Times New Roman" w:eastAsia="Times New Roman" w:hAnsi="Times New Roman" w:cs="Times New Roman"/>
      <w:sz w:val="16"/>
      <w:lang w:eastAsia="en-US"/>
    </w:rPr>
  </w:style>
  <w:style w:type="paragraph" w:styleId="Title">
    <w:name w:val="Title"/>
    <w:basedOn w:val="HeadingBase"/>
    <w:link w:val="TitleChar"/>
    <w:qFormat/>
    <w:rsid w:val="00BD5CC5"/>
    <w:pPr>
      <w:spacing w:before="5040"/>
      <w:jc w:val="center"/>
    </w:pPr>
    <w:rPr>
      <w:sz w:val="48"/>
      <w:szCs w:val="72"/>
      <w:lang w:val="en-US"/>
    </w:rPr>
  </w:style>
  <w:style w:type="character" w:customStyle="1" w:styleId="TitleChar">
    <w:name w:val="Title Char"/>
    <w:basedOn w:val="DefaultParagraphFont"/>
    <w:link w:val="Title"/>
    <w:rsid w:val="00BD5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CC5"/>
    <w:pPr>
      <w:tabs>
        <w:tab w:val="left" w:pos="3600"/>
        <w:tab w:val="left" w:pos="3958"/>
      </w:tabs>
    </w:pPr>
  </w:style>
  <w:style w:type="paragraph" w:styleId="List">
    <w:name w:val="List"/>
    <w:basedOn w:val="BodyText"/>
    <w:next w:val="BodyText"/>
    <w:rsid w:val="00BD5CC5"/>
    <w:pPr>
      <w:tabs>
        <w:tab w:val="left" w:pos="340"/>
      </w:tabs>
      <w:spacing w:before="60" w:after="60"/>
      <w:ind w:left="340" w:hanging="340"/>
    </w:pPr>
  </w:style>
  <w:style w:type="paragraph" w:customStyle="1" w:styleId="Note">
    <w:name w:val="Note"/>
    <w:basedOn w:val="BodyText"/>
    <w:rsid w:val="00BD5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CC5"/>
    <w:pPr>
      <w:framePr w:wrap="auto" w:hAnchor="text" w:y="6049"/>
    </w:pPr>
    <w:rPr>
      <w:color w:val="000000"/>
      <w:sz w:val="40"/>
    </w:rPr>
  </w:style>
  <w:style w:type="paragraph" w:customStyle="1" w:styleId="TOCTitle">
    <w:name w:val="TOCTitle"/>
    <w:basedOn w:val="Heading1"/>
    <w:rsid w:val="00BD5CC5"/>
    <w:pPr>
      <w:spacing w:after="240"/>
      <w:jc w:val="center"/>
      <w:outlineLvl w:val="9"/>
    </w:pPr>
    <w:rPr>
      <w:caps/>
    </w:rPr>
  </w:style>
  <w:style w:type="paragraph" w:customStyle="1" w:styleId="Version">
    <w:name w:val="Version"/>
    <w:rsid w:val="00BD5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CC5"/>
    <w:pPr>
      <w:keepNext w:val="0"/>
      <w:tabs>
        <w:tab w:val="right" w:pos="4176"/>
      </w:tabs>
      <w:ind w:left="198" w:hanging="198"/>
    </w:pPr>
    <w:rPr>
      <w:rFonts w:ascii="Garamond" w:hAnsi="Garamond"/>
    </w:rPr>
  </w:style>
  <w:style w:type="paragraph" w:styleId="IndexHeading">
    <w:name w:val="index heading"/>
    <w:basedOn w:val="Normal"/>
    <w:next w:val="Index1"/>
    <w:semiHidden/>
    <w:rsid w:val="00BD5CC5"/>
    <w:pPr>
      <w:spacing w:before="120" w:after="120"/>
    </w:pPr>
    <w:rPr>
      <w:rFonts w:ascii="Arial" w:hAnsi="Arial"/>
      <w:b/>
      <w:color w:val="918585"/>
      <w:sz w:val="24"/>
    </w:rPr>
  </w:style>
  <w:style w:type="paragraph" w:styleId="Header">
    <w:name w:val="header"/>
    <w:basedOn w:val="Normal"/>
    <w:link w:val="HeaderChar"/>
    <w:rsid w:val="00BD5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CC5"/>
    <w:rPr>
      <w:rFonts w:ascii="Times New Roman" w:eastAsia="Times New Roman" w:hAnsi="Times New Roman" w:cs="Times New Roman"/>
      <w:sz w:val="16"/>
      <w:szCs w:val="20"/>
      <w:lang w:val="en-GB" w:eastAsia="en-US"/>
    </w:rPr>
  </w:style>
  <w:style w:type="paragraph" w:customStyle="1" w:styleId="Chapter">
    <w:name w:val="Chapter"/>
    <w:basedOn w:val="Normal"/>
    <w:rsid w:val="00BD5CC5"/>
    <w:pPr>
      <w:spacing w:before="240"/>
    </w:pPr>
    <w:rPr>
      <w:rFonts w:ascii="Times New Roman" w:hAnsi="Times New Roman"/>
      <w:smallCaps/>
      <w:spacing w:val="80"/>
      <w:sz w:val="28"/>
    </w:rPr>
  </w:style>
  <w:style w:type="paragraph" w:customStyle="1" w:styleId="InChapter">
    <w:name w:val="InChapter"/>
    <w:basedOn w:val="Heading3"/>
    <w:rsid w:val="00BD5CC5"/>
    <w:pPr>
      <w:spacing w:after="240"/>
      <w:outlineLvl w:val="9"/>
    </w:pPr>
    <w:rPr>
      <w:noProof/>
    </w:rPr>
  </w:style>
  <w:style w:type="paragraph" w:styleId="Index2">
    <w:name w:val="index 2"/>
    <w:basedOn w:val="Normal"/>
    <w:next w:val="Normal"/>
    <w:semiHidden/>
    <w:rsid w:val="00BD5CC5"/>
    <w:pPr>
      <w:tabs>
        <w:tab w:val="right" w:pos="4176"/>
      </w:tabs>
      <w:ind w:left="568" w:hanging="284"/>
    </w:pPr>
    <w:rPr>
      <w:rFonts w:ascii="Garamond" w:hAnsi="Garamond"/>
    </w:rPr>
  </w:style>
  <w:style w:type="paragraph" w:customStyle="1" w:styleId="Byline">
    <w:name w:val="Byline"/>
    <w:rsid w:val="00BD5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CC5"/>
    <w:pPr>
      <w:tabs>
        <w:tab w:val="clear" w:pos="3600"/>
        <w:tab w:val="clear" w:pos="3958"/>
      </w:tabs>
      <w:jc w:val="right"/>
    </w:pPr>
  </w:style>
  <w:style w:type="paragraph" w:styleId="Caption">
    <w:name w:val="caption"/>
    <w:basedOn w:val="BodyText"/>
    <w:next w:val="Normal"/>
    <w:qFormat/>
    <w:rsid w:val="00BD5CC5"/>
    <w:pPr>
      <w:framePr w:w="2268" w:hSpace="181" w:vSpace="181" w:wrap="around" w:vAnchor="text" w:hAnchor="page" w:x="1135" w:y="285" w:anchorLock="1"/>
    </w:pPr>
    <w:rPr>
      <w:i/>
    </w:rPr>
  </w:style>
  <w:style w:type="paragraph" w:customStyle="1" w:styleId="MiniTOCTitle">
    <w:name w:val="MiniTOCTitle"/>
    <w:basedOn w:val="Heading4"/>
    <w:rsid w:val="00BD5CC5"/>
    <w:pPr>
      <w:spacing w:before="240"/>
      <w:outlineLvl w:val="9"/>
    </w:pPr>
    <w:rPr>
      <w:noProof/>
      <w:sz w:val="24"/>
    </w:rPr>
  </w:style>
  <w:style w:type="paragraph" w:customStyle="1" w:styleId="MiniTOCItem">
    <w:name w:val="MiniTOCItem"/>
    <w:basedOn w:val="ListBullet"/>
    <w:rsid w:val="00BD5CC5"/>
    <w:pPr>
      <w:numPr>
        <w:numId w:val="0"/>
      </w:numPr>
      <w:tabs>
        <w:tab w:val="right" w:leader="dot" w:pos="6521"/>
      </w:tabs>
      <w:spacing w:before="0" w:after="0"/>
    </w:pPr>
  </w:style>
  <w:style w:type="paragraph" w:customStyle="1" w:styleId="TOFTitle">
    <w:name w:val="TOFTitle"/>
    <w:basedOn w:val="TOCTitle"/>
    <w:rsid w:val="00BD5CC5"/>
  </w:style>
  <w:style w:type="paragraph" w:styleId="TableofFigures">
    <w:name w:val="table of figures"/>
    <w:basedOn w:val="Normal"/>
    <w:next w:val="Normal"/>
    <w:semiHidden/>
    <w:rsid w:val="00BD5CC5"/>
    <w:pPr>
      <w:tabs>
        <w:tab w:val="right" w:leader="dot" w:pos="9072"/>
      </w:tabs>
      <w:ind w:left="970" w:hanging="403"/>
    </w:pPr>
    <w:rPr>
      <w:rFonts w:ascii="Times New Roman" w:hAnsi="Times New Roman"/>
      <w:b/>
    </w:rPr>
  </w:style>
  <w:style w:type="paragraph" w:styleId="ListNumber">
    <w:name w:val="List Number"/>
    <w:basedOn w:val="List"/>
    <w:rsid w:val="00BD5CC5"/>
    <w:pPr>
      <w:numPr>
        <w:numId w:val="15"/>
      </w:numPr>
      <w:tabs>
        <w:tab w:val="clear" w:pos="340"/>
      </w:tabs>
    </w:pPr>
  </w:style>
  <w:style w:type="character" w:customStyle="1" w:styleId="WingdingSymbols">
    <w:name w:val="Wingding Symbols"/>
    <w:rsid w:val="00BD5CC5"/>
    <w:rPr>
      <w:rFonts w:ascii="Wingdings" w:hAnsi="Wingdings"/>
    </w:rPr>
  </w:style>
  <w:style w:type="paragraph" w:customStyle="1" w:styleId="TableHeading">
    <w:name w:val="Table Heading"/>
    <w:basedOn w:val="HeadingBase"/>
    <w:rsid w:val="00BD5CC5"/>
    <w:pPr>
      <w:keepLines/>
      <w:pBdr>
        <w:bottom w:val="single" w:sz="6" w:space="1" w:color="918585"/>
      </w:pBdr>
      <w:spacing w:before="240"/>
    </w:pPr>
  </w:style>
  <w:style w:type="character" w:customStyle="1" w:styleId="HotSpot">
    <w:name w:val="HotSpot"/>
    <w:rsid w:val="00BD5CC5"/>
    <w:rPr>
      <w:color w:val="0033CC"/>
      <w:u w:val="none"/>
    </w:rPr>
  </w:style>
  <w:style w:type="paragraph" w:customStyle="1" w:styleId="BodyTextRight">
    <w:name w:val="Body Text Right"/>
    <w:basedOn w:val="BodyText"/>
    <w:rsid w:val="00BD5CC5"/>
    <w:pPr>
      <w:spacing w:before="0" w:after="0"/>
      <w:jc w:val="right"/>
    </w:pPr>
  </w:style>
  <w:style w:type="paragraph" w:styleId="Index3">
    <w:name w:val="index 3"/>
    <w:basedOn w:val="ListNumber2"/>
    <w:next w:val="Normal"/>
    <w:semiHidden/>
    <w:rsid w:val="00BD5CC5"/>
    <w:pPr>
      <w:numPr>
        <w:numId w:val="0"/>
      </w:numPr>
      <w:tabs>
        <w:tab w:val="right" w:leader="dot" w:pos="4176"/>
      </w:tabs>
    </w:pPr>
  </w:style>
  <w:style w:type="paragraph" w:styleId="ListNumber2">
    <w:name w:val="List Number 2"/>
    <w:basedOn w:val="List2"/>
    <w:rsid w:val="00BD5CC5"/>
    <w:pPr>
      <w:numPr>
        <w:numId w:val="10"/>
      </w:numPr>
      <w:tabs>
        <w:tab w:val="clear" w:pos="1060"/>
      </w:tabs>
    </w:pPr>
  </w:style>
  <w:style w:type="paragraph" w:customStyle="1" w:styleId="MarginNote">
    <w:name w:val="Margin Note"/>
    <w:basedOn w:val="BodyText"/>
    <w:rsid w:val="00BD5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CC5"/>
    <w:rPr>
      <w:sz w:val="32"/>
    </w:rPr>
  </w:style>
  <w:style w:type="paragraph" w:customStyle="1" w:styleId="HeadingProcedure">
    <w:name w:val="Heading Procedure"/>
    <w:basedOn w:val="HeadingBase"/>
    <w:next w:val="Normal"/>
    <w:rsid w:val="00BD5CC5"/>
    <w:pPr>
      <w:tabs>
        <w:tab w:val="left" w:pos="0"/>
      </w:tabs>
      <w:spacing w:before="120" w:after="60"/>
    </w:pPr>
    <w:rPr>
      <w:i/>
      <w:color w:val="918585"/>
      <w:sz w:val="22"/>
    </w:rPr>
  </w:style>
  <w:style w:type="paragraph" w:customStyle="1" w:styleId="TableBodyText">
    <w:name w:val="Table Body Text"/>
    <w:basedOn w:val="BodyText"/>
    <w:rsid w:val="00BD5CC5"/>
    <w:pPr>
      <w:spacing w:before="60" w:after="60"/>
    </w:pPr>
  </w:style>
  <w:style w:type="paragraph" w:styleId="ListContinue">
    <w:name w:val="List Continue"/>
    <w:basedOn w:val="List"/>
    <w:rsid w:val="00BD5CC5"/>
    <w:pPr>
      <w:ind w:firstLine="0"/>
    </w:pPr>
  </w:style>
  <w:style w:type="paragraph" w:customStyle="1" w:styleId="ListNote">
    <w:name w:val="List Note"/>
    <w:basedOn w:val="List"/>
    <w:rsid w:val="00BD5CC5"/>
    <w:pPr>
      <w:pBdr>
        <w:top w:val="single" w:sz="6" w:space="2" w:color="918585"/>
        <w:bottom w:val="single" w:sz="6" w:space="2" w:color="918585"/>
      </w:pBdr>
      <w:tabs>
        <w:tab w:val="left" w:pos="1021"/>
      </w:tabs>
      <w:ind w:firstLine="0"/>
    </w:pPr>
  </w:style>
  <w:style w:type="paragraph" w:customStyle="1" w:styleId="Warning">
    <w:name w:val="Warning"/>
    <w:basedOn w:val="BodyText"/>
    <w:rsid w:val="00BD5CC5"/>
    <w:pPr>
      <w:shd w:val="clear" w:color="auto" w:fill="D9D9D9"/>
      <w:tabs>
        <w:tab w:val="left" w:pos="992"/>
      </w:tabs>
      <w:ind w:left="119" w:right="119"/>
    </w:pPr>
    <w:rPr>
      <w:sz w:val="20"/>
    </w:rPr>
  </w:style>
  <w:style w:type="paragraph" w:customStyle="1" w:styleId="MarginIcons">
    <w:name w:val="Margin Icons"/>
    <w:basedOn w:val="BodyText"/>
    <w:rsid w:val="00BD5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CC5"/>
    <w:rPr>
      <w:rFonts w:ascii="Courier New" w:hAnsi="Courier New"/>
    </w:rPr>
  </w:style>
  <w:style w:type="paragraph" w:customStyle="1" w:styleId="NoteBullet">
    <w:name w:val="Note Bullet"/>
    <w:basedOn w:val="Note"/>
    <w:rsid w:val="00BD5CC5"/>
    <w:pPr>
      <w:tabs>
        <w:tab w:val="clear" w:pos="680"/>
      </w:tabs>
      <w:spacing w:before="60" w:after="60"/>
    </w:pPr>
  </w:style>
  <w:style w:type="paragraph" w:customStyle="1" w:styleId="SubHeading2">
    <w:name w:val="SubHeading2"/>
    <w:basedOn w:val="HeadingBase"/>
    <w:rsid w:val="00BD5CC5"/>
    <w:pPr>
      <w:spacing w:before="240" w:after="60"/>
    </w:pPr>
    <w:rPr>
      <w:sz w:val="20"/>
    </w:rPr>
  </w:style>
  <w:style w:type="paragraph" w:customStyle="1" w:styleId="SubHeading1">
    <w:name w:val="SubHeading1"/>
    <w:basedOn w:val="HeadingBase"/>
    <w:rsid w:val="00BD5CC5"/>
    <w:pPr>
      <w:spacing w:before="240" w:after="60"/>
    </w:pPr>
    <w:rPr>
      <w:color w:val="918585"/>
      <w:sz w:val="22"/>
    </w:rPr>
  </w:style>
  <w:style w:type="paragraph" w:customStyle="1" w:styleId="SideHeading">
    <w:name w:val="Side Heading"/>
    <w:basedOn w:val="HeadingBase"/>
    <w:rsid w:val="00BD5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CC5"/>
    <w:pPr>
      <w:tabs>
        <w:tab w:val="num" w:pos="360"/>
      </w:tabs>
    </w:pPr>
  </w:style>
  <w:style w:type="paragraph" w:styleId="PlainText">
    <w:name w:val="Plain Text"/>
    <w:basedOn w:val="Normal"/>
    <w:link w:val="PlainTextChar"/>
    <w:rsid w:val="00BD5CC5"/>
    <w:rPr>
      <w:sz w:val="20"/>
    </w:rPr>
  </w:style>
  <w:style w:type="character" w:customStyle="1" w:styleId="PlainTextChar">
    <w:name w:val="Plain Text Char"/>
    <w:basedOn w:val="DefaultParagraphFont"/>
    <w:link w:val="PlainText"/>
    <w:rsid w:val="00BD5CC5"/>
    <w:rPr>
      <w:rFonts w:ascii="Courier New" w:eastAsia="Times New Roman" w:hAnsi="Courier New" w:cs="Times New Roman"/>
      <w:sz w:val="20"/>
      <w:szCs w:val="20"/>
      <w:lang w:eastAsia="en-US"/>
    </w:rPr>
  </w:style>
  <w:style w:type="character" w:customStyle="1" w:styleId="MenuOption">
    <w:name w:val="Menu Option"/>
    <w:basedOn w:val="DefaultParagraphFont"/>
    <w:rsid w:val="00BD5CC5"/>
    <w:rPr>
      <w:b/>
      <w:smallCaps/>
    </w:rPr>
  </w:style>
  <w:style w:type="paragraph" w:customStyle="1" w:styleId="TableListNumber">
    <w:name w:val="Table List Number"/>
    <w:basedOn w:val="ListNumber"/>
    <w:rsid w:val="00BD5CC5"/>
    <w:pPr>
      <w:numPr>
        <w:numId w:val="0"/>
      </w:numPr>
    </w:pPr>
  </w:style>
  <w:style w:type="paragraph" w:styleId="TOC4">
    <w:name w:val="toc 4"/>
    <w:basedOn w:val="TOCBase"/>
    <w:next w:val="Normal"/>
    <w:semiHidden/>
    <w:rsid w:val="00BD5CC5"/>
    <w:pPr>
      <w:tabs>
        <w:tab w:val="right" w:leader="dot" w:pos="9071"/>
      </w:tabs>
      <w:ind w:left="1701"/>
    </w:pPr>
  </w:style>
  <w:style w:type="paragraph" w:customStyle="1" w:styleId="ListAlpha">
    <w:name w:val="List Alpha"/>
    <w:basedOn w:val="List"/>
    <w:rsid w:val="00BD5CC5"/>
    <w:pPr>
      <w:numPr>
        <w:numId w:val="9"/>
      </w:numPr>
    </w:pPr>
  </w:style>
  <w:style w:type="paragraph" w:customStyle="1" w:styleId="ListAlpha2">
    <w:name w:val="List Alpha 2"/>
    <w:basedOn w:val="List2"/>
    <w:rsid w:val="00BD5CC5"/>
    <w:pPr>
      <w:numPr>
        <w:numId w:val="8"/>
      </w:numPr>
    </w:pPr>
  </w:style>
  <w:style w:type="paragraph" w:styleId="List2">
    <w:name w:val="List 2"/>
    <w:basedOn w:val="BodyText"/>
    <w:rsid w:val="00BD5CC5"/>
    <w:pPr>
      <w:tabs>
        <w:tab w:val="left" w:pos="680"/>
      </w:tabs>
      <w:spacing w:before="60" w:after="60"/>
      <w:ind w:left="680" w:hanging="340"/>
    </w:pPr>
  </w:style>
  <w:style w:type="paragraph" w:styleId="List3">
    <w:name w:val="List 3"/>
    <w:basedOn w:val="BodyText"/>
    <w:rsid w:val="00BD5CC5"/>
    <w:pPr>
      <w:tabs>
        <w:tab w:val="left" w:pos="1021"/>
      </w:tabs>
      <w:spacing w:before="60" w:after="60"/>
      <w:ind w:left="1020" w:hanging="340"/>
    </w:pPr>
  </w:style>
  <w:style w:type="paragraph" w:styleId="List4">
    <w:name w:val="List 4"/>
    <w:basedOn w:val="BodyText"/>
    <w:rsid w:val="00BD5CC5"/>
    <w:pPr>
      <w:tabs>
        <w:tab w:val="left" w:pos="1361"/>
      </w:tabs>
      <w:spacing w:before="60" w:after="60"/>
      <w:ind w:left="1361" w:hanging="340"/>
    </w:pPr>
  </w:style>
  <w:style w:type="paragraph" w:styleId="List5">
    <w:name w:val="List 5"/>
    <w:basedOn w:val="BodyText"/>
    <w:rsid w:val="00BD5CC5"/>
    <w:pPr>
      <w:tabs>
        <w:tab w:val="left" w:pos="1701"/>
      </w:tabs>
      <w:spacing w:before="60" w:after="60"/>
      <w:ind w:left="1701" w:hanging="340"/>
    </w:pPr>
  </w:style>
  <w:style w:type="paragraph" w:styleId="ListBullet3">
    <w:name w:val="List Bullet 3"/>
    <w:basedOn w:val="List3"/>
    <w:rsid w:val="00BD5CC5"/>
    <w:pPr>
      <w:numPr>
        <w:numId w:val="14"/>
      </w:numPr>
      <w:tabs>
        <w:tab w:val="clear" w:pos="1021"/>
      </w:tabs>
      <w:ind w:left="1037" w:hanging="357"/>
    </w:pPr>
  </w:style>
  <w:style w:type="paragraph" w:styleId="ListBullet4">
    <w:name w:val="List Bullet 4"/>
    <w:basedOn w:val="List4"/>
    <w:rsid w:val="00BD5CC5"/>
    <w:pPr>
      <w:numPr>
        <w:numId w:val="3"/>
      </w:numPr>
      <w:tabs>
        <w:tab w:val="clear" w:pos="1361"/>
      </w:tabs>
    </w:pPr>
  </w:style>
  <w:style w:type="paragraph" w:styleId="ListBullet5">
    <w:name w:val="List Bullet 5"/>
    <w:basedOn w:val="List5"/>
    <w:rsid w:val="00BD5CC5"/>
    <w:pPr>
      <w:numPr>
        <w:numId w:val="4"/>
      </w:numPr>
    </w:pPr>
  </w:style>
  <w:style w:type="paragraph" w:styleId="ListContinue2">
    <w:name w:val="List Continue 2"/>
    <w:basedOn w:val="List2"/>
    <w:rsid w:val="00BD5CC5"/>
    <w:pPr>
      <w:ind w:firstLine="0"/>
    </w:pPr>
  </w:style>
  <w:style w:type="paragraph" w:styleId="ListContinue3">
    <w:name w:val="List Continue 3"/>
    <w:basedOn w:val="List3"/>
    <w:rsid w:val="00BD5CC5"/>
    <w:pPr>
      <w:ind w:left="1021" w:firstLine="0"/>
    </w:pPr>
  </w:style>
  <w:style w:type="paragraph" w:styleId="ListContinue4">
    <w:name w:val="List Continue 4"/>
    <w:basedOn w:val="List4"/>
    <w:rsid w:val="00BD5CC5"/>
    <w:pPr>
      <w:ind w:firstLine="0"/>
    </w:pPr>
  </w:style>
  <w:style w:type="paragraph" w:styleId="ListContinue5">
    <w:name w:val="List Continue 5"/>
    <w:basedOn w:val="List5"/>
    <w:rsid w:val="00BD5CC5"/>
    <w:pPr>
      <w:ind w:firstLine="0"/>
    </w:pPr>
  </w:style>
  <w:style w:type="paragraph" w:styleId="ListNumber3">
    <w:name w:val="List Number 3"/>
    <w:basedOn w:val="List3"/>
    <w:rsid w:val="00BD5CC5"/>
    <w:pPr>
      <w:numPr>
        <w:numId w:val="5"/>
      </w:numPr>
    </w:pPr>
  </w:style>
  <w:style w:type="paragraph" w:styleId="ListNumber4">
    <w:name w:val="List Number 4"/>
    <w:basedOn w:val="List4"/>
    <w:rsid w:val="00BD5CC5"/>
    <w:pPr>
      <w:numPr>
        <w:numId w:val="6"/>
      </w:numPr>
    </w:pPr>
  </w:style>
  <w:style w:type="paragraph" w:styleId="ListNumber5">
    <w:name w:val="List Number 5"/>
    <w:basedOn w:val="List5"/>
    <w:rsid w:val="00BD5CC5"/>
    <w:pPr>
      <w:numPr>
        <w:numId w:val="7"/>
      </w:numPr>
    </w:pPr>
  </w:style>
  <w:style w:type="paragraph" w:styleId="BlockText">
    <w:name w:val="Block Text"/>
    <w:basedOn w:val="Normal"/>
    <w:rsid w:val="00BD5CC5"/>
    <w:pPr>
      <w:spacing w:after="120"/>
      <w:ind w:left="1440" w:right="1440"/>
    </w:pPr>
  </w:style>
  <w:style w:type="character" w:customStyle="1" w:styleId="Subscript">
    <w:name w:val="Subscript"/>
    <w:basedOn w:val="DefaultParagraphFont"/>
    <w:rsid w:val="00BD5CC5"/>
    <w:rPr>
      <w:sz w:val="16"/>
      <w:vertAlign w:val="subscript"/>
    </w:rPr>
  </w:style>
  <w:style w:type="character" w:customStyle="1" w:styleId="Superscript">
    <w:name w:val="Superscript"/>
    <w:basedOn w:val="DefaultParagraphFont"/>
    <w:rsid w:val="00BD5CC5"/>
    <w:rPr>
      <w:sz w:val="16"/>
      <w:vertAlign w:val="superscript"/>
    </w:rPr>
  </w:style>
  <w:style w:type="character" w:customStyle="1" w:styleId="Symbols">
    <w:name w:val="Symbols"/>
    <w:basedOn w:val="DefaultParagraphFont"/>
    <w:rsid w:val="00BD5CC5"/>
    <w:rPr>
      <w:rFonts w:ascii="Symbol" w:hAnsi="Symbol"/>
    </w:rPr>
  </w:style>
  <w:style w:type="character" w:customStyle="1" w:styleId="MenuOptions">
    <w:name w:val="Menu Options"/>
    <w:basedOn w:val="DefaultParagraphFont"/>
    <w:rsid w:val="00BD5CC5"/>
    <w:rPr>
      <w:rFonts w:ascii="Arial Narrow" w:hAnsi="Arial Narrow"/>
      <w:smallCaps/>
    </w:rPr>
  </w:style>
  <w:style w:type="character" w:customStyle="1" w:styleId="Buttons">
    <w:name w:val="Buttons"/>
    <w:basedOn w:val="DefaultParagraphFont"/>
    <w:rsid w:val="00BD5CC5"/>
    <w:rPr>
      <w:b/>
    </w:rPr>
  </w:style>
  <w:style w:type="character" w:customStyle="1" w:styleId="Underlined">
    <w:name w:val="Underlined"/>
    <w:basedOn w:val="DefaultParagraphFont"/>
    <w:rsid w:val="00BD5CC5"/>
    <w:rPr>
      <w:u w:val="single"/>
    </w:rPr>
  </w:style>
  <w:style w:type="paragraph" w:customStyle="1" w:styleId="TableBodyTextRight">
    <w:name w:val="Table Body Text Right"/>
    <w:basedOn w:val="TableBodyText"/>
    <w:rsid w:val="00BD5CC5"/>
    <w:pPr>
      <w:widowControl w:val="0"/>
      <w:autoSpaceDE w:val="0"/>
      <w:autoSpaceDN w:val="0"/>
      <w:adjustRightInd w:val="0"/>
      <w:jc w:val="right"/>
    </w:pPr>
    <w:rPr>
      <w:rFonts w:cs="Arial"/>
      <w:szCs w:val="18"/>
    </w:rPr>
  </w:style>
  <w:style w:type="paragraph" w:customStyle="1" w:styleId="CopyrightText">
    <w:name w:val="Copyright Text"/>
    <w:basedOn w:val="BodyText"/>
    <w:rsid w:val="00BD5CC5"/>
    <w:rPr>
      <w:sz w:val="18"/>
    </w:rPr>
  </w:style>
  <w:style w:type="paragraph" w:customStyle="1" w:styleId="BodySmallRight">
    <w:name w:val="Body Small Right"/>
    <w:basedOn w:val="BodyTextRight"/>
    <w:rsid w:val="00BD5CC5"/>
    <w:rPr>
      <w:sz w:val="18"/>
      <w:szCs w:val="18"/>
    </w:rPr>
  </w:style>
  <w:style w:type="paragraph" w:customStyle="1" w:styleId="MarginEdition">
    <w:name w:val="Margin Edition"/>
    <w:basedOn w:val="MarginNote"/>
    <w:rsid w:val="00BD5CC5"/>
    <w:pPr>
      <w:spacing w:before="0" w:after="0"/>
    </w:pPr>
    <w:rPr>
      <w:rFonts w:ascii="Times New Roman" w:hAnsi="Times New Roman"/>
      <w:color w:val="999999"/>
    </w:rPr>
  </w:style>
  <w:style w:type="paragraph" w:customStyle="1" w:styleId="Spacer">
    <w:name w:val="Spacer"/>
    <w:basedOn w:val="Normal"/>
    <w:rsid w:val="00BD5CC5"/>
    <w:rPr>
      <w:sz w:val="2"/>
      <w:szCs w:val="2"/>
    </w:rPr>
  </w:style>
  <w:style w:type="character" w:customStyle="1" w:styleId="Small">
    <w:name w:val="Small"/>
    <w:basedOn w:val="DefaultParagraphFont"/>
    <w:rsid w:val="00BD5CC5"/>
    <w:rPr>
      <w:sz w:val="16"/>
    </w:rPr>
  </w:style>
  <w:style w:type="paragraph" w:customStyle="1" w:styleId="WideTable">
    <w:name w:val="Wide Table"/>
    <w:basedOn w:val="Normal"/>
    <w:rsid w:val="00BD5CC5"/>
    <w:pPr>
      <w:ind w:left="-1418"/>
    </w:pPr>
    <w:rPr>
      <w:sz w:val="2"/>
      <w:szCs w:val="2"/>
    </w:rPr>
  </w:style>
  <w:style w:type="character" w:styleId="PageNumber">
    <w:name w:val="page number"/>
    <w:basedOn w:val="DefaultParagraphFont"/>
    <w:rsid w:val="00BD5CC5"/>
  </w:style>
  <w:style w:type="paragraph" w:styleId="Quote">
    <w:name w:val="Quote"/>
    <w:basedOn w:val="Heading1"/>
    <w:link w:val="QuoteChar"/>
    <w:qFormat/>
    <w:rsid w:val="00BD5CC5"/>
    <w:rPr>
      <w:b w:val="0"/>
      <w:sz w:val="72"/>
      <w:szCs w:val="72"/>
      <w:lang w:val="en-NZ"/>
    </w:rPr>
  </w:style>
  <w:style w:type="character" w:customStyle="1" w:styleId="QuoteChar">
    <w:name w:val="Quote Char"/>
    <w:basedOn w:val="DefaultParagraphFont"/>
    <w:link w:val="Quote"/>
    <w:rsid w:val="00BD5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CC5"/>
    <w:pPr>
      <w:pageBreakBefore/>
    </w:pPr>
  </w:style>
  <w:style w:type="paragraph" w:customStyle="1" w:styleId="Border">
    <w:name w:val="Border"/>
    <w:basedOn w:val="Normal"/>
    <w:qFormat/>
    <w:rsid w:val="00BD5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CC5"/>
    <w:rPr>
      <w:b/>
      <w:bCs/>
      <w:i/>
      <w:iCs/>
      <w:color w:val="auto"/>
    </w:rPr>
  </w:style>
  <w:style w:type="paragraph" w:styleId="IntenseQuote">
    <w:name w:val="Intense Quote"/>
    <w:basedOn w:val="Normal"/>
    <w:next w:val="Normal"/>
    <w:link w:val="IntenseQuoteChar"/>
    <w:uiPriority w:val="30"/>
    <w:qFormat/>
    <w:rsid w:val="00BD5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CC5"/>
    <w:rPr>
      <w:smallCaps/>
      <w:color w:val="auto"/>
      <w:u w:val="single"/>
    </w:rPr>
  </w:style>
  <w:style w:type="character" w:styleId="IntenseReference">
    <w:name w:val="Intense Reference"/>
    <w:basedOn w:val="DefaultParagraphFont"/>
    <w:uiPriority w:val="32"/>
    <w:qFormat/>
    <w:rsid w:val="00BD5CC5"/>
    <w:rPr>
      <w:b/>
      <w:bCs/>
      <w:smallCaps/>
      <w:color w:val="auto"/>
      <w:spacing w:val="5"/>
      <w:u w:val="single"/>
    </w:rPr>
  </w:style>
  <w:style w:type="paragraph" w:customStyle="1" w:styleId="2ColumnHeading">
    <w:name w:val="2Column Heading"/>
    <w:basedOn w:val="BodyText"/>
    <w:qFormat/>
    <w:rsid w:val="00BD5CC5"/>
    <w:pPr>
      <w:spacing w:after="60"/>
      <w:ind w:left="-2268"/>
    </w:pPr>
    <w:rPr>
      <w:b/>
    </w:rPr>
  </w:style>
  <w:style w:type="paragraph" w:customStyle="1" w:styleId="Heading1TOC">
    <w:name w:val="Heading1 TOC"/>
    <w:basedOn w:val="Normal"/>
    <w:qFormat/>
    <w:rsid w:val="00BD5CC5"/>
    <w:pPr>
      <w:spacing w:before="240" w:after="120"/>
    </w:pPr>
    <w:rPr>
      <w:rFonts w:ascii="Times New Roman" w:hAnsi="Times New Roman"/>
      <w:b/>
      <w:sz w:val="32"/>
    </w:rPr>
  </w:style>
  <w:style w:type="paragraph" w:customStyle="1" w:styleId="Heading2TOC">
    <w:name w:val="Heading2 TOC"/>
    <w:basedOn w:val="Normal"/>
    <w:qFormat/>
    <w:rsid w:val="00BD5CC5"/>
    <w:pPr>
      <w:spacing w:before="240" w:after="60"/>
    </w:pPr>
    <w:rPr>
      <w:rFonts w:ascii="Times New Roman" w:hAnsi="Times New Roman"/>
      <w:b/>
      <w:sz w:val="28"/>
    </w:rPr>
  </w:style>
  <w:style w:type="character" w:customStyle="1" w:styleId="Underline">
    <w:name w:val="Underline"/>
    <w:basedOn w:val="DefaultParagraphFont"/>
    <w:qFormat/>
    <w:rsid w:val="00BD5CC5"/>
    <w:rPr>
      <w:u w:val="single"/>
    </w:rPr>
  </w:style>
  <w:style w:type="character" w:customStyle="1" w:styleId="BoldandItalics">
    <w:name w:val="Bold and Italics"/>
    <w:qFormat/>
    <w:rsid w:val="00BD5CC5"/>
    <w:rPr>
      <w:b/>
      <w:i/>
      <w:u w:val="none"/>
    </w:rPr>
  </w:style>
  <w:style w:type="paragraph" w:styleId="BalloonText">
    <w:name w:val="Balloon Text"/>
    <w:basedOn w:val="Normal"/>
    <w:link w:val="BalloonTextChar"/>
    <w:rsid w:val="00BD5CC5"/>
    <w:rPr>
      <w:rFonts w:ascii="Tahoma" w:hAnsi="Tahoma" w:cs="Tahoma"/>
      <w:sz w:val="16"/>
      <w:szCs w:val="16"/>
    </w:rPr>
  </w:style>
  <w:style w:type="character" w:customStyle="1" w:styleId="BalloonTextChar">
    <w:name w:val="Balloon Text Char"/>
    <w:basedOn w:val="DefaultParagraphFont"/>
    <w:link w:val="BalloonText"/>
    <w:rsid w:val="00BD5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CC5"/>
    <w:rPr>
      <w:b/>
      <w:color w:val="660033"/>
      <w:spacing w:val="0"/>
    </w:rPr>
  </w:style>
  <w:style w:type="paragraph" w:customStyle="1" w:styleId="Nameditemlist">
    <w:name w:val="Named item list"/>
    <w:basedOn w:val="BodyText"/>
    <w:qFormat/>
    <w:rsid w:val="00BD5CC5"/>
    <w:pPr>
      <w:tabs>
        <w:tab w:val="left" w:pos="2835"/>
      </w:tabs>
      <w:ind w:left="2835" w:hanging="2835"/>
    </w:pPr>
  </w:style>
  <w:style w:type="paragraph" w:customStyle="1" w:styleId="BodyTextnopadding">
    <w:name w:val="Body Text no padding"/>
    <w:basedOn w:val="BodyText"/>
    <w:qFormat/>
    <w:rsid w:val="00BD5CC5"/>
    <w:pPr>
      <w:spacing w:before="0" w:after="0"/>
    </w:pPr>
  </w:style>
  <w:style w:type="paragraph" w:customStyle="1" w:styleId="BodyTextBold">
    <w:name w:val="Body Text Bold"/>
    <w:basedOn w:val="BodyText"/>
    <w:qFormat/>
    <w:rsid w:val="00BD5CC5"/>
    <w:rPr>
      <w:b/>
    </w:rPr>
  </w:style>
  <w:style w:type="character" w:styleId="Hyperlink">
    <w:name w:val="Hyperlink"/>
    <w:basedOn w:val="DefaultParagraphFont"/>
    <w:uiPriority w:val="99"/>
    <w:unhideWhenUsed/>
    <w:rsid w:val="00195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5498</Characters>
  <Application>Microsoft Office Word</Application>
  <DocSecurity>0</DocSecurity>
  <Lines>171</Lines>
  <Paragraphs>143</Paragraphs>
  <ScaleCrop>false</ScaleCrop>
  <Company>Author-it Software Corporation Ltd.</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HLTHPS007 Administer and monitor medications</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