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C23" w:rsidP="00576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HLTHPS001 Take clinical measurements</w:t>
      </w:r>
      <w:r>
        <w:fldChar w:fldCharType="end"/>
      </w:r>
    </w:p>
    <w:p w:rsidR="00576C23" w:rsidP="00576C23">
      <w:pPr>
        <w:pStyle w:val="Version"/>
        <w:sectPr w:rsidSect="00D51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18B2" w:rsidP="00D518B2">
      <w:pPr>
        <w:pStyle w:val="SuperHeading"/>
      </w:pPr>
      <w:r w:rsidRPr="00D518B2">
        <w:t>Assessment Requirements for HLTHPS001 Take clinical measurements</w:t>
      </w:r>
    </w:p>
    <w:p w:rsidR="00000000" w:rsidRPr="00D518B2" w:rsidP="00D518B2">
      <w:pPr>
        <w:pStyle w:val="Heading1"/>
      </w:pPr>
      <w:bookmarkStart w:id="1" w:name="O_873783"/>
      <w:bookmarkEnd w:id="1"/>
      <w:r w:rsidRPr="00D51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5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B2" w:rsidP="00D518B2">
            <w:pPr>
              <w:pStyle w:val="BodyText"/>
            </w:pPr>
            <w:r w:rsidRPr="00D518B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B2">
            <w:pPr>
              <w:pStyle w:val="BodyText"/>
              <w:rPr>
                <w:lang w:val="en-NZ"/>
              </w:rPr>
            </w:pPr>
            <w:r w:rsidRPr="00D518B2">
              <w:rPr>
                <w:rStyle w:val="SpecialBold"/>
              </w:rPr>
              <w:t>Comments</w:t>
            </w:r>
          </w:p>
        </w:tc>
      </w:tr>
      <w:tr w:rsidTr="00D5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B2">
            <w:pPr>
              <w:pStyle w:val="BodyText"/>
              <w:rPr>
                <w:lang w:val="en-NZ"/>
              </w:rPr>
            </w:pPr>
            <w:r w:rsidRPr="00D518B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B2" w:rsidP="00D518B2">
            <w:pPr>
              <w:pStyle w:val="BodyText"/>
            </w:pPr>
            <w:r w:rsidRPr="00D518B2">
              <w:t xml:space="preserve">This version was released in </w:t>
            </w:r>
            <w:r w:rsidRPr="00D518B2">
              <w:rPr>
                <w:rStyle w:val="Emphasis"/>
              </w:rPr>
              <w:t>HLT Health Training Package release 2.0</w:t>
            </w:r>
            <w:r w:rsidRPr="00D518B2">
              <w:t xml:space="preserve"> and meets the require</w:t>
            </w:r>
            <w:r w:rsidRPr="00D518B2">
              <w:t>ments of the 2012 Standards for Training Packages.</w:t>
            </w:r>
          </w:p>
          <w:p w:rsidR="00000000" w:rsidRPr="00D518B2" w:rsidP="00D518B2">
            <w:pPr>
              <w:pStyle w:val="BodyText"/>
            </w:pPr>
            <w:r w:rsidRPr="00D518B2">
              <w:t xml:space="preserve">Merged HLTMAMP401C and CHCAC410B. Significant changes to the elements and performance criteria. New evidence requirements for assessment, including volume and frequency requirements. Significant change to </w:t>
            </w:r>
            <w:r w:rsidRPr="00D518B2">
              <w:t>knowledge evidence. Removed prerequisite.</w:t>
            </w:r>
          </w:p>
        </w:tc>
      </w:tr>
    </w:tbl>
    <w:p w:rsidR="00576C23" w:rsidP="00D518B2">
      <w:pPr>
        <w:pStyle w:val="BodyText"/>
      </w:pPr>
    </w:p>
    <w:p w:rsidR="00576C23" w:rsidP="00D518B2">
      <w:pPr>
        <w:pStyle w:val="BodyText"/>
      </w:pPr>
    </w:p>
    <w:p w:rsidR="00000000" w:rsidRPr="00D518B2" w:rsidP="00D518B2">
      <w:pPr>
        <w:pStyle w:val="Heading1"/>
      </w:pPr>
      <w:bookmarkStart w:id="2" w:name="O_873782"/>
      <w:bookmarkEnd w:id="2"/>
      <w:r w:rsidRPr="00D518B2">
        <w:t>Performance Evidence</w:t>
      </w:r>
    </w:p>
    <w:p w:rsidR="00000000" w:rsidRPr="00D518B2" w:rsidP="00576C23">
      <w:pPr>
        <w:pStyle w:val="BodyText"/>
      </w:pPr>
      <w:r w:rsidRPr="00D518B2">
        <w:t>The candidate must show evidence of the ability to complete tasks outlined in elements and performance criteria of this unit, manage tasks and manage contingencies in the co</w:t>
      </w:r>
      <w:r w:rsidRPr="00D518B2">
        <w:t>ntext of the job role. There must be evidence that the candidate has:</w:t>
      </w:r>
    </w:p>
    <w:p w:rsidR="00000000" w:rsidRPr="00D518B2" w:rsidP="00D518B2">
      <w:pPr>
        <w:pStyle w:val="ListBullet"/>
      </w:pPr>
      <w:r w:rsidRPr="00D518B2">
        <w:t>followed established protocols, infection control and safety requirements to produce accurate, valid and reliable clinical measurements from at least 3 different clients</w:t>
      </w:r>
    </w:p>
    <w:p w:rsidR="00000000" w:rsidRPr="00D518B2" w:rsidP="00D518B2">
      <w:pPr>
        <w:pStyle w:val="ListBullet"/>
      </w:pPr>
      <w:r w:rsidRPr="00D518B2">
        <w:t xml:space="preserve">taken different types of clinical measurements including at least 3 of each of the following: </w:t>
      </w:r>
    </w:p>
    <w:p w:rsidR="00000000" w:rsidRPr="00D518B2" w:rsidP="00D518B2">
      <w:pPr>
        <w:pStyle w:val="ListBullet2"/>
      </w:pPr>
      <w:r w:rsidRPr="00D518B2">
        <w:t>vital signs (blood pressure (BP), pulse, respirations, temperature)</w:t>
      </w:r>
    </w:p>
    <w:p w:rsidR="00000000" w:rsidRPr="00D518B2" w:rsidP="00D518B2">
      <w:pPr>
        <w:pStyle w:val="ListBullet2"/>
      </w:pPr>
      <w:r w:rsidRPr="00D518B2">
        <w:t>body height, weight and circumference measurement (including body mass index (BMI) calculati</w:t>
      </w:r>
      <w:r w:rsidRPr="00D518B2">
        <w:t>on)</w:t>
      </w:r>
    </w:p>
    <w:p w:rsidR="00000000" w:rsidRPr="00D518B2" w:rsidP="00D518B2">
      <w:pPr>
        <w:pStyle w:val="ListBullet2"/>
      </w:pPr>
      <w:r w:rsidRPr="00D518B2">
        <w:t>blood glucose measurement</w:t>
      </w:r>
    </w:p>
    <w:p w:rsidR="00000000" w:rsidRPr="00D518B2" w:rsidP="00D518B2">
      <w:pPr>
        <w:pStyle w:val="ListBullet2"/>
      </w:pPr>
      <w:r w:rsidRPr="00D518B2">
        <w:t>chemical reagent strip urinalysis</w:t>
      </w:r>
    </w:p>
    <w:p w:rsidR="00000000" w:rsidRPr="00D518B2" w:rsidP="00D518B2">
      <w:pPr>
        <w:pStyle w:val="ListBullet2"/>
      </w:pPr>
      <w:r w:rsidRPr="00D518B2">
        <w:t xml:space="preserve">colour blindness testing </w:t>
      </w:r>
    </w:p>
    <w:p w:rsidR="00000000" w:rsidRPr="00D518B2" w:rsidP="00D518B2">
      <w:pPr>
        <w:pStyle w:val="ListBullet2"/>
      </w:pPr>
      <w:r w:rsidRPr="00D518B2">
        <w:t xml:space="preserve">distance visual acuity testing </w:t>
      </w:r>
    </w:p>
    <w:p w:rsidR="00000000" w:rsidRPr="00D518B2" w:rsidP="00D518B2">
      <w:pPr>
        <w:pStyle w:val="ListBullet2"/>
      </w:pPr>
      <w:r w:rsidRPr="00D518B2">
        <w:t>screening audiometry</w:t>
      </w:r>
    </w:p>
    <w:p w:rsidR="00000000" w:rsidRPr="00D518B2" w:rsidP="00D518B2">
      <w:pPr>
        <w:pStyle w:val="ListBullet2"/>
      </w:pPr>
      <w:r w:rsidRPr="00D518B2">
        <w:t>spirometry</w:t>
      </w:r>
    </w:p>
    <w:p w:rsidR="00000000" w:rsidRPr="00D518B2" w:rsidP="00D518B2">
      <w:pPr>
        <w:pStyle w:val="AllowPageBreak"/>
      </w:pPr>
    </w:p>
    <w:p w:rsidR="00000000" w:rsidRPr="00D518B2" w:rsidP="00D518B2">
      <w:pPr>
        <w:pStyle w:val="Heading1"/>
      </w:pPr>
      <w:bookmarkStart w:id="3" w:name="O_873780"/>
      <w:bookmarkEnd w:id="3"/>
      <w:r w:rsidRPr="00D518B2">
        <w:t>Knowledge Evidence</w:t>
      </w:r>
    </w:p>
    <w:p w:rsidR="00000000" w:rsidRPr="00D518B2" w:rsidP="00576C23">
      <w:pPr>
        <w:pStyle w:val="BodyText"/>
      </w:pPr>
      <w:r w:rsidRPr="00D518B2">
        <w:t>The candidate must be able to demonstrate essential knowledge requ</w:t>
      </w:r>
      <w:r w:rsidRPr="00D518B2">
        <w:t>ired to effectively complete tasks outlined in elements and performance criteria of this unit, manage tasks and manage contingencies in the context of the work role. This includes knowledge of:</w:t>
      </w:r>
    </w:p>
    <w:p w:rsidR="00000000" w:rsidRPr="00D518B2" w:rsidP="00D518B2">
      <w:pPr>
        <w:pStyle w:val="ListBullet"/>
      </w:pPr>
      <w:r w:rsidRPr="00D518B2">
        <w:t>legal and ethical considerations for taking clinical measurem</w:t>
      </w:r>
      <w:r w:rsidRPr="00D518B2">
        <w:t>ents (national, state/territory, local), including:</w:t>
      </w:r>
    </w:p>
    <w:p w:rsidR="00000000" w:rsidRPr="00D518B2" w:rsidP="00D518B2">
      <w:pPr>
        <w:pStyle w:val="ListBullet2"/>
      </w:pPr>
      <w:r w:rsidRPr="00D518B2">
        <w:t>children in the workplace</w:t>
      </w:r>
    </w:p>
    <w:p w:rsidR="00000000" w:rsidRPr="00D518B2" w:rsidP="00D518B2">
      <w:pPr>
        <w:pStyle w:val="ListBullet2"/>
      </w:pPr>
      <w:r w:rsidRPr="00D518B2">
        <w:t>duty of care</w:t>
      </w:r>
    </w:p>
    <w:p w:rsidR="00000000" w:rsidRPr="00D518B2" w:rsidP="00D518B2">
      <w:pPr>
        <w:pStyle w:val="ListBullet2"/>
      </w:pPr>
      <w:r w:rsidRPr="00D518B2">
        <w:t>informed consent, what it means, and the limitations of obtaining consent by workers who are not health professionals</w:t>
      </w:r>
    </w:p>
    <w:p w:rsidR="00000000" w:rsidRPr="00D518B2" w:rsidP="00D518B2">
      <w:pPr>
        <w:pStyle w:val="ListBullet2"/>
      </w:pPr>
      <w:r w:rsidRPr="00D518B2">
        <w:t>mandatory reporting</w:t>
      </w:r>
    </w:p>
    <w:p w:rsidR="00000000" w:rsidRPr="00D518B2" w:rsidP="00D518B2">
      <w:pPr>
        <w:pStyle w:val="ListBullet2"/>
      </w:pPr>
      <w:r w:rsidRPr="00D518B2">
        <w:t>records management</w:t>
      </w:r>
    </w:p>
    <w:p w:rsidR="00000000" w:rsidRPr="00D518B2" w:rsidP="00D518B2">
      <w:pPr>
        <w:pStyle w:val="ListBullet2"/>
      </w:pPr>
      <w:r w:rsidRPr="00D518B2">
        <w:t>privacy, confidentiality and disclosure</w:t>
      </w:r>
    </w:p>
    <w:p w:rsidR="00000000" w:rsidRPr="00D518B2" w:rsidP="00D518B2">
      <w:pPr>
        <w:pStyle w:val="ListBullet2"/>
      </w:pPr>
      <w:r w:rsidRPr="00D518B2">
        <w:t>industry standards</w:t>
      </w:r>
    </w:p>
    <w:p w:rsidR="00000000" w:rsidRPr="00D518B2" w:rsidP="00D518B2">
      <w:pPr>
        <w:pStyle w:val="ListBullet2"/>
      </w:pPr>
      <w:r w:rsidRPr="00D518B2">
        <w:t>rights and responsibilities of workers, employers and clients</w:t>
      </w:r>
    </w:p>
    <w:p w:rsidR="00000000" w:rsidRPr="00D518B2" w:rsidP="00D518B2">
      <w:pPr>
        <w:pStyle w:val="ListBullet2"/>
      </w:pPr>
      <w:r w:rsidRPr="00D518B2">
        <w:t>work role boundaries – responsibilities and limitations</w:t>
      </w:r>
    </w:p>
    <w:p w:rsidR="00000000" w:rsidRPr="00D518B2" w:rsidP="00D518B2">
      <w:pPr>
        <w:pStyle w:val="ListBullet"/>
      </w:pPr>
      <w:r w:rsidRPr="00D518B2">
        <w:t>standard infection control requirements for clinical measurements:</w:t>
      </w:r>
    </w:p>
    <w:p w:rsidR="00000000" w:rsidRPr="00D518B2" w:rsidP="00D518B2">
      <w:pPr>
        <w:pStyle w:val="ListBullet2"/>
      </w:pPr>
      <w:r w:rsidRPr="00D518B2">
        <w:t>hand washi</w:t>
      </w:r>
      <w:r w:rsidRPr="00D518B2">
        <w:t>ng</w:t>
      </w:r>
    </w:p>
    <w:p w:rsidR="00000000" w:rsidRPr="00D518B2" w:rsidP="00D518B2">
      <w:pPr>
        <w:pStyle w:val="ListBullet2"/>
      </w:pPr>
      <w:r w:rsidRPr="00D518B2">
        <w:t>use of personal protective equipment (PPE)</w:t>
      </w:r>
    </w:p>
    <w:p w:rsidR="00000000" w:rsidRPr="00D518B2" w:rsidP="00D518B2">
      <w:pPr>
        <w:pStyle w:val="ListBullet2"/>
      </w:pPr>
      <w:r w:rsidRPr="00D518B2">
        <w:t>avoiding contact with bodily fluids</w:t>
      </w:r>
    </w:p>
    <w:p w:rsidR="00000000" w:rsidRPr="00D518B2" w:rsidP="00D518B2">
      <w:pPr>
        <w:pStyle w:val="ListBullet2"/>
      </w:pPr>
      <w:r w:rsidRPr="00D518B2">
        <w:t>sharps injury considerations</w:t>
      </w:r>
    </w:p>
    <w:p w:rsidR="00000000" w:rsidRPr="00D518B2" w:rsidP="00D518B2">
      <w:pPr>
        <w:pStyle w:val="ListBullet2"/>
      </w:pPr>
      <w:r w:rsidRPr="00D518B2">
        <w:t>waste disposal</w:t>
      </w:r>
    </w:p>
    <w:p w:rsidR="00000000" w:rsidRPr="00D518B2" w:rsidP="00D518B2">
      <w:pPr>
        <w:pStyle w:val="ListBullet"/>
      </w:pPr>
      <w:r w:rsidRPr="00D518B2">
        <w:t>types of clinical measurements that may be taken by those supporting medical practitioners:</w:t>
      </w:r>
    </w:p>
    <w:p w:rsidR="00000000" w:rsidRPr="00D518B2" w:rsidP="00D518B2">
      <w:pPr>
        <w:pStyle w:val="ListBullet2"/>
      </w:pPr>
      <w:r w:rsidRPr="00D518B2">
        <w:t>vital signs</w:t>
      </w:r>
    </w:p>
    <w:p w:rsidR="00000000" w:rsidRPr="00D518B2" w:rsidP="00D518B2">
      <w:pPr>
        <w:pStyle w:val="ListBullet2"/>
      </w:pPr>
      <w:r w:rsidRPr="00D518B2">
        <w:t>body height, weight and circumference measurement (including BMI calculation)</w:t>
      </w:r>
    </w:p>
    <w:p w:rsidR="00000000" w:rsidRPr="00D518B2" w:rsidP="00D518B2">
      <w:pPr>
        <w:pStyle w:val="ListBullet2"/>
      </w:pPr>
      <w:r w:rsidRPr="00D518B2">
        <w:t xml:space="preserve">colour blindness testing </w:t>
      </w:r>
    </w:p>
    <w:p w:rsidR="00000000" w:rsidRPr="00D518B2" w:rsidP="00D518B2">
      <w:pPr>
        <w:pStyle w:val="ListBullet2"/>
      </w:pPr>
      <w:r w:rsidRPr="00D518B2">
        <w:t xml:space="preserve">distance visual acuity testing </w:t>
      </w:r>
    </w:p>
    <w:p w:rsidR="00000000" w:rsidRPr="00D518B2" w:rsidP="00D518B2">
      <w:pPr>
        <w:pStyle w:val="ListBullet2"/>
      </w:pPr>
      <w:r w:rsidRPr="00D518B2">
        <w:t>screening audiometry</w:t>
      </w:r>
    </w:p>
    <w:p w:rsidR="00000000" w:rsidRPr="00D518B2" w:rsidP="00D518B2">
      <w:pPr>
        <w:pStyle w:val="ListBullet2"/>
      </w:pPr>
      <w:r w:rsidRPr="00D518B2">
        <w:t>spirometry</w:t>
      </w:r>
    </w:p>
    <w:p w:rsidR="00000000" w:rsidRPr="00D518B2" w:rsidP="00D518B2">
      <w:pPr>
        <w:pStyle w:val="ListBullet"/>
      </w:pPr>
      <w:r w:rsidRPr="00D518B2">
        <w:t>clinical measurement procedures including:</w:t>
      </w:r>
    </w:p>
    <w:p w:rsidR="00000000" w:rsidRPr="00D518B2" w:rsidP="00D518B2">
      <w:pPr>
        <w:pStyle w:val="ListBullet2"/>
      </w:pPr>
      <w:r w:rsidRPr="00D518B2">
        <w:t>terminology</w:t>
      </w:r>
    </w:p>
    <w:p w:rsidR="00000000" w:rsidRPr="00D518B2" w:rsidP="00D518B2">
      <w:pPr>
        <w:pStyle w:val="ListBullet2"/>
      </w:pPr>
      <w:r w:rsidRPr="00D518B2">
        <w:t>sequencing for measurement</w:t>
      </w:r>
    </w:p>
    <w:p w:rsidR="00000000" w:rsidRPr="00D518B2" w:rsidP="00D518B2">
      <w:pPr>
        <w:pStyle w:val="ListBullet2"/>
      </w:pPr>
      <w:r w:rsidRPr="00D518B2">
        <w:t>type</w:t>
      </w:r>
      <w:r w:rsidRPr="00D518B2">
        <w:t xml:space="preserve"> of data produced, its recording and use</w:t>
      </w:r>
    </w:p>
    <w:p w:rsidR="00000000" w:rsidRPr="00D518B2" w:rsidP="00D518B2">
      <w:pPr>
        <w:pStyle w:val="ListBullet"/>
      </w:pPr>
      <w:r w:rsidRPr="00D518B2">
        <w:t xml:space="preserve">features and correct use of medical testing equipment: </w:t>
      </w:r>
    </w:p>
    <w:p w:rsidR="00000000" w:rsidRPr="00D518B2" w:rsidP="00D518B2">
      <w:pPr>
        <w:pStyle w:val="ListBullet2"/>
      </w:pPr>
      <w:r w:rsidRPr="00D518B2">
        <w:t>sphygmomanometer</w:t>
      </w:r>
    </w:p>
    <w:p w:rsidR="00000000" w:rsidRPr="00D518B2" w:rsidP="00D518B2">
      <w:pPr>
        <w:pStyle w:val="ListBullet2"/>
      </w:pPr>
      <w:r w:rsidRPr="00D518B2">
        <w:t>stethoscope</w:t>
      </w:r>
    </w:p>
    <w:p w:rsidR="00000000" w:rsidRPr="00D518B2" w:rsidP="00D518B2">
      <w:pPr>
        <w:pStyle w:val="ListBullet2"/>
      </w:pPr>
      <w:r w:rsidRPr="00D518B2">
        <w:t>timing device</w:t>
      </w:r>
    </w:p>
    <w:p w:rsidR="00000000" w:rsidRPr="00D518B2" w:rsidP="00D518B2">
      <w:pPr>
        <w:pStyle w:val="ListBullet2"/>
      </w:pPr>
      <w:r w:rsidRPr="00D518B2">
        <w:t>thermometer</w:t>
      </w:r>
    </w:p>
    <w:p w:rsidR="00000000" w:rsidRPr="00D518B2" w:rsidP="00D518B2">
      <w:pPr>
        <w:pStyle w:val="ListBullet2"/>
      </w:pPr>
      <w:r w:rsidRPr="00D518B2">
        <w:t>peak flow meter and disposable mouth pieces</w:t>
      </w:r>
    </w:p>
    <w:p w:rsidR="00000000" w:rsidRPr="00D518B2" w:rsidP="00D518B2">
      <w:pPr>
        <w:pStyle w:val="ListBullet2"/>
      </w:pPr>
      <w:r w:rsidRPr="00D518B2">
        <w:t>penlight</w:t>
      </w:r>
    </w:p>
    <w:p w:rsidR="00000000" w:rsidRPr="00D518B2" w:rsidP="00D518B2">
      <w:pPr>
        <w:pStyle w:val="ListBullet2"/>
      </w:pPr>
      <w:r w:rsidRPr="00D518B2">
        <w:t>percussion (reflex) hammer</w:t>
      </w:r>
    </w:p>
    <w:p w:rsidR="00000000" w:rsidRPr="00D518B2" w:rsidP="00D518B2">
      <w:pPr>
        <w:pStyle w:val="ListBullet2"/>
      </w:pPr>
      <w:r w:rsidRPr="00D518B2">
        <w:t>measuring tape</w:t>
      </w:r>
    </w:p>
    <w:p w:rsidR="00000000" w:rsidRPr="00D518B2" w:rsidP="00D518B2">
      <w:pPr>
        <w:pStyle w:val="ListBullet2"/>
      </w:pPr>
      <w:r w:rsidRPr="00D518B2">
        <w:t>equipment for measuring height and weight</w:t>
      </w:r>
    </w:p>
    <w:p w:rsidR="00000000" w:rsidRPr="00D518B2" w:rsidP="00D518B2">
      <w:pPr>
        <w:pStyle w:val="ListBullet2"/>
      </w:pPr>
      <w:r w:rsidRPr="00D518B2">
        <w:t>goose-neck lamp or other light source</w:t>
      </w:r>
    </w:p>
    <w:p w:rsidR="00000000" w:rsidRPr="00D518B2" w:rsidP="00D518B2">
      <w:pPr>
        <w:pStyle w:val="ListBullet"/>
      </w:pPr>
      <w:r w:rsidRPr="00D518B2">
        <w:t>types of information included in client medical records and rationale for these:</w:t>
      </w:r>
    </w:p>
    <w:p w:rsidR="00000000" w:rsidRPr="00D518B2" w:rsidP="00D518B2">
      <w:pPr>
        <w:pStyle w:val="ListBullet2"/>
      </w:pPr>
      <w:r w:rsidRPr="00D518B2">
        <w:t>test details – name, date, time</w:t>
      </w:r>
    </w:p>
    <w:p w:rsidR="00000000" w:rsidRPr="00D518B2" w:rsidP="00D518B2">
      <w:pPr>
        <w:pStyle w:val="ListBullet2"/>
      </w:pPr>
      <w:r w:rsidRPr="00D518B2">
        <w:t>name of supplies used including batch and lot number and expi</w:t>
      </w:r>
      <w:r w:rsidRPr="00D518B2">
        <w:t>ry date, if applicable</w:t>
      </w:r>
    </w:p>
    <w:p w:rsidR="00000000" w:rsidRPr="00D518B2" w:rsidP="00D518B2">
      <w:pPr>
        <w:pStyle w:val="ListBullet2"/>
      </w:pPr>
      <w:r w:rsidRPr="00D518B2">
        <w:t xml:space="preserve">results </w:t>
      </w:r>
    </w:p>
    <w:p w:rsidR="00000000" w:rsidRPr="00D518B2" w:rsidP="00D518B2">
      <w:pPr>
        <w:pStyle w:val="ListBullet2"/>
      </w:pPr>
      <w:r w:rsidRPr="00D518B2">
        <w:t>adverse effects or incidents</w:t>
      </w:r>
    </w:p>
    <w:p w:rsidR="00000000" w:rsidRPr="00D518B2" w:rsidP="00D518B2">
      <w:pPr>
        <w:pStyle w:val="ListBullet2"/>
      </w:pPr>
      <w:r w:rsidRPr="00D518B2">
        <w:t>advice or instructions given</w:t>
      </w:r>
    </w:p>
    <w:p w:rsidR="00000000" w:rsidRPr="00D518B2" w:rsidP="00D518B2">
      <w:pPr>
        <w:pStyle w:val="ListBullet2"/>
      </w:pPr>
      <w:r w:rsidRPr="00D518B2">
        <w:t>information collected regarding client’s current health status, physical and social function</w:t>
      </w:r>
    </w:p>
    <w:p w:rsidR="00000000" w:rsidRPr="00D518B2" w:rsidP="00D518B2">
      <w:pPr>
        <w:pStyle w:val="ListBullet2"/>
      </w:pPr>
      <w:r w:rsidRPr="00D518B2">
        <w:t>signature requirements</w:t>
      </w:r>
    </w:p>
    <w:p w:rsidR="00000000" w:rsidRPr="00D518B2" w:rsidP="00D518B2">
      <w:pPr>
        <w:pStyle w:val="ListBullet"/>
      </w:pPr>
      <w:r w:rsidRPr="00D518B2">
        <w:t>cultural and religious factors that impact on the</w:t>
      </w:r>
      <w:r w:rsidRPr="00D518B2">
        <w:t xml:space="preserve"> approach to taking clinical measurements </w:t>
      </w:r>
    </w:p>
    <w:p w:rsidR="00000000" w:rsidRPr="00D518B2" w:rsidP="00D518B2">
      <w:pPr>
        <w:pStyle w:val="ListBullet"/>
      </w:pPr>
      <w:r w:rsidRPr="00D518B2">
        <w:t>anatomy and physiology to enable performance of clinical measurement to be accurate and of minimum risk to clients</w:t>
      </w:r>
    </w:p>
    <w:p w:rsidR="00000000" w:rsidRPr="00D518B2" w:rsidP="00D518B2">
      <w:pPr>
        <w:pStyle w:val="AllowPageBreak"/>
      </w:pPr>
    </w:p>
    <w:p w:rsidR="00000000" w:rsidRPr="00D518B2" w:rsidP="00D518B2">
      <w:pPr>
        <w:pStyle w:val="Heading1"/>
      </w:pPr>
      <w:bookmarkStart w:id="4" w:name="O_873774"/>
      <w:bookmarkEnd w:id="4"/>
      <w:r w:rsidRPr="00D518B2">
        <w:t>Assessment Conditions</w:t>
      </w:r>
    </w:p>
    <w:p w:rsidR="00000000" w:rsidRPr="00D518B2" w:rsidP="00576C23">
      <w:pPr>
        <w:pStyle w:val="BodyText"/>
      </w:pPr>
      <w:r w:rsidRPr="00D518B2">
        <w:t xml:space="preserve">Skills must have been demonstrated in the workplace or in a simulated environment that reflects workplace conditions. The following conditions must be met for this unit: </w:t>
      </w:r>
    </w:p>
    <w:p w:rsidR="00000000" w:rsidRPr="00D518B2" w:rsidP="00D518B2">
      <w:pPr>
        <w:pStyle w:val="ListBullet"/>
      </w:pPr>
      <w:r w:rsidRPr="00D518B2">
        <w:t xml:space="preserve">use of suitable facilities, equipment and resources, including: </w:t>
      </w:r>
    </w:p>
    <w:p w:rsidR="00000000" w:rsidRPr="00D518B2" w:rsidP="00D518B2">
      <w:pPr>
        <w:pStyle w:val="ListBullet2"/>
      </w:pPr>
      <w:r w:rsidRPr="00D518B2">
        <w:t>sphygmomanometer</w:t>
      </w:r>
    </w:p>
    <w:p w:rsidR="00000000" w:rsidRPr="00D518B2" w:rsidP="00D518B2">
      <w:pPr>
        <w:pStyle w:val="ListBullet2"/>
      </w:pPr>
      <w:r w:rsidRPr="00D518B2">
        <w:t>s</w:t>
      </w:r>
      <w:r w:rsidRPr="00D518B2">
        <w:t>tethoscope</w:t>
      </w:r>
    </w:p>
    <w:p w:rsidR="00000000" w:rsidRPr="00D518B2" w:rsidP="00D518B2">
      <w:pPr>
        <w:pStyle w:val="ListBullet2"/>
      </w:pPr>
      <w:r w:rsidRPr="00D518B2">
        <w:t>timing device</w:t>
      </w:r>
    </w:p>
    <w:p w:rsidR="00000000" w:rsidRPr="00D518B2" w:rsidP="00D518B2">
      <w:pPr>
        <w:pStyle w:val="ListBullet2"/>
      </w:pPr>
      <w:r w:rsidRPr="00D518B2">
        <w:t>thermometer</w:t>
      </w:r>
    </w:p>
    <w:p w:rsidR="00000000" w:rsidRPr="00D518B2" w:rsidP="00D518B2">
      <w:pPr>
        <w:pStyle w:val="ListBullet2"/>
      </w:pPr>
      <w:r w:rsidRPr="00D518B2">
        <w:t>peak flow meter and disposable mouth pieces</w:t>
      </w:r>
    </w:p>
    <w:p w:rsidR="00000000" w:rsidRPr="00D518B2" w:rsidP="00D518B2">
      <w:pPr>
        <w:pStyle w:val="ListBullet2"/>
      </w:pPr>
      <w:r w:rsidRPr="00D518B2">
        <w:t>spirometer and disposable mouth pieces</w:t>
      </w:r>
    </w:p>
    <w:p w:rsidR="00000000" w:rsidRPr="00D518B2" w:rsidP="00D518B2">
      <w:pPr>
        <w:pStyle w:val="ListBullet2"/>
      </w:pPr>
      <w:r w:rsidRPr="00D518B2">
        <w:t>penlight</w:t>
      </w:r>
    </w:p>
    <w:p w:rsidR="00000000" w:rsidRPr="00D518B2" w:rsidP="00D518B2">
      <w:pPr>
        <w:pStyle w:val="ListBullet2"/>
      </w:pPr>
      <w:r w:rsidRPr="00D518B2">
        <w:t>measuring tape</w:t>
      </w:r>
    </w:p>
    <w:p w:rsidR="00000000" w:rsidRPr="00D518B2" w:rsidP="00D518B2">
      <w:pPr>
        <w:pStyle w:val="ListBullet2"/>
      </w:pPr>
      <w:r w:rsidRPr="00D518B2">
        <w:t>equipment for measuring height and weight</w:t>
      </w:r>
    </w:p>
    <w:p w:rsidR="00000000" w:rsidRPr="00D518B2" w:rsidP="00D518B2">
      <w:pPr>
        <w:pStyle w:val="ListBullet2"/>
      </w:pPr>
      <w:r w:rsidRPr="00D518B2">
        <w:t>colour blindness test plates (eg Ishihara)</w:t>
      </w:r>
    </w:p>
    <w:p w:rsidR="00000000" w:rsidRPr="00D518B2" w:rsidP="00D518B2">
      <w:pPr>
        <w:pStyle w:val="ListBullet2"/>
      </w:pPr>
      <w:r w:rsidRPr="00D518B2">
        <w:t>visual acuity chart</w:t>
      </w:r>
    </w:p>
    <w:p w:rsidR="00000000" w:rsidRPr="00D518B2" w:rsidP="00D518B2">
      <w:pPr>
        <w:pStyle w:val="ListBullet2"/>
      </w:pPr>
      <w:r w:rsidRPr="00D518B2">
        <w:t>audiometer and quiet room</w:t>
      </w:r>
    </w:p>
    <w:p w:rsidR="00000000" w:rsidRPr="00D518B2" w:rsidP="00D518B2">
      <w:pPr>
        <w:pStyle w:val="ListBullet2"/>
      </w:pPr>
      <w:r w:rsidRPr="00D518B2">
        <w:t>goose-neck lamp or other light source</w:t>
      </w:r>
    </w:p>
    <w:p w:rsidR="00000000" w:rsidRPr="00D518B2" w:rsidP="00D518B2">
      <w:pPr>
        <w:pStyle w:val="ListBullet2"/>
      </w:pPr>
      <w:r w:rsidRPr="00D518B2">
        <w:t>hand washing facilities</w:t>
      </w:r>
    </w:p>
    <w:p w:rsidR="00000000" w:rsidRPr="00D518B2" w:rsidP="00D518B2">
      <w:pPr>
        <w:pStyle w:val="ListBullet2"/>
      </w:pPr>
      <w:r w:rsidRPr="00D518B2">
        <w:t>disposable gloves</w:t>
      </w:r>
    </w:p>
    <w:p w:rsidR="00000000" w:rsidRPr="00D518B2" w:rsidP="00D518B2">
      <w:pPr>
        <w:pStyle w:val="ListBullet"/>
      </w:pPr>
      <w:r w:rsidRPr="00D518B2">
        <w:t xml:space="preserve">modelling of industry operating conditions, including: </w:t>
      </w:r>
    </w:p>
    <w:p w:rsidR="00000000" w:rsidRPr="00D518B2" w:rsidP="00D518B2">
      <w:pPr>
        <w:pStyle w:val="ListBullet2"/>
      </w:pPr>
      <w:r w:rsidRPr="00D518B2">
        <w:t>interaction with clients</w:t>
      </w:r>
    </w:p>
    <w:p w:rsidR="00000000" w:rsidRPr="00D518B2" w:rsidP="00D518B2">
      <w:pPr>
        <w:pStyle w:val="ListBullet2"/>
      </w:pPr>
      <w:r w:rsidRPr="00D518B2">
        <w:t>integration of situations requiring problem solving</w:t>
      </w:r>
    </w:p>
    <w:p w:rsidR="00000000" w:rsidRPr="00D518B2" w:rsidP="00D518B2">
      <w:pPr>
        <w:pStyle w:val="BodyText"/>
      </w:pPr>
    </w:p>
    <w:p w:rsidR="00000000" w:rsidRPr="00D518B2" w:rsidP="00576C23">
      <w:pPr>
        <w:pStyle w:val="BodyText"/>
      </w:pPr>
      <w:r w:rsidRPr="00D518B2">
        <w:t>Assessors must</w:t>
      </w:r>
      <w:r w:rsidRPr="00D518B2">
        <w:t xml:space="preserve"> satisfy the Standards for Registered Training Organisations (RTOs) 2015/AQTF mandatory competency requirements for assessors.</w:t>
      </w:r>
    </w:p>
    <w:p w:rsidR="00000000" w:rsidRPr="00D518B2" w:rsidP="00D518B2">
      <w:pPr>
        <w:pStyle w:val="Heading1"/>
      </w:pPr>
      <w:bookmarkStart w:id="5" w:name="O_873793"/>
      <w:bookmarkEnd w:id="5"/>
      <w:r w:rsidRPr="00D518B2">
        <w:t>Links</w:t>
      </w:r>
    </w:p>
    <w:p w:rsidR="00000000" w:rsidRPr="00D518B2" w:rsidP="00576C23">
      <w:pPr>
        <w:pStyle w:val="BodyText"/>
      </w:pPr>
      <w:r w:rsidRPr="00D518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F538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518B2" w:rsidP="00D518B2"/>
    <w:sectPr w:rsidSect="00D518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B2" w:rsidRPr="00576C23" w:rsidP="00576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23" w:rsidP="00D51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C23" w:rsidP="00D51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6C23" w:rsidP="00D51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8B2" w:rsidRPr="00576C23" w:rsidP="00576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23" w:rsidRPr="002D2AF8" w:rsidP="00D51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HLTHPS001 Take clinical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76C23" w:rsidP="00D51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9AE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0CC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A2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8B2"/>
  </w:style>
  <w:style w:type="character" w:customStyle="1" w:styleId="Heading1Char">
    <w:name w:val="Heading 1 Char"/>
    <w:basedOn w:val="DefaultParagraphFont"/>
    <w:link w:val="Heading1"/>
    <w:rsid w:val="00D51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8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8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8B2"/>
    <w:rPr>
      <w:b/>
      <w:spacing w:val="0"/>
    </w:rPr>
  </w:style>
  <w:style w:type="paragraph" w:styleId="ListBullet2">
    <w:name w:val="List Bullet 2"/>
    <w:basedOn w:val="List2"/>
    <w:rsid w:val="00D518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18B2"/>
    <w:rPr>
      <w:i/>
    </w:rPr>
  </w:style>
  <w:style w:type="paragraph" w:customStyle="1" w:styleId="SuperHeading">
    <w:name w:val="SuperHeading"/>
    <w:basedOn w:val="Normal"/>
    <w:rsid w:val="00D51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8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8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8B2"/>
  </w:style>
  <w:style w:type="paragraph" w:styleId="TableofFigures">
    <w:name w:val="table of figures"/>
    <w:basedOn w:val="Normal"/>
    <w:next w:val="Normal"/>
    <w:semiHidden/>
    <w:rsid w:val="00D51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8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8B2"/>
    <w:rPr>
      <w:rFonts w:ascii="Wingdings" w:hAnsi="Wingdings"/>
    </w:rPr>
  </w:style>
  <w:style w:type="paragraph" w:customStyle="1" w:styleId="TableHeading">
    <w:name w:val="Table Heading"/>
    <w:basedOn w:val="HeadingBase"/>
    <w:rsid w:val="00D518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8B2"/>
    <w:rPr>
      <w:color w:val="0033CC"/>
      <w:u w:val="none"/>
    </w:rPr>
  </w:style>
  <w:style w:type="paragraph" w:customStyle="1" w:styleId="BodyTextRight">
    <w:name w:val="Body Text Right"/>
    <w:basedOn w:val="BodyText"/>
    <w:rsid w:val="00D51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8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8B2"/>
    <w:rPr>
      <w:sz w:val="32"/>
    </w:rPr>
  </w:style>
  <w:style w:type="paragraph" w:customStyle="1" w:styleId="HeadingProcedure">
    <w:name w:val="Heading Procedure"/>
    <w:basedOn w:val="HeadingBase"/>
    <w:next w:val="Normal"/>
    <w:rsid w:val="00D51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8B2"/>
    <w:pPr>
      <w:spacing w:before="60" w:after="60"/>
    </w:pPr>
  </w:style>
  <w:style w:type="paragraph" w:styleId="ListContinue">
    <w:name w:val="List Continue"/>
    <w:basedOn w:val="List"/>
    <w:rsid w:val="00D518B2"/>
    <w:pPr>
      <w:ind w:firstLine="0"/>
    </w:pPr>
  </w:style>
  <w:style w:type="paragraph" w:customStyle="1" w:styleId="ListNote">
    <w:name w:val="List Note"/>
    <w:basedOn w:val="List"/>
    <w:rsid w:val="00D51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8B2"/>
    <w:rPr>
      <w:rFonts w:ascii="Courier New" w:hAnsi="Courier New"/>
    </w:rPr>
  </w:style>
  <w:style w:type="paragraph" w:customStyle="1" w:styleId="NoteBullet">
    <w:name w:val="Note Bullet"/>
    <w:basedOn w:val="Note"/>
    <w:rsid w:val="00D51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8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8B2"/>
    <w:rPr>
      <w:b/>
      <w:smallCaps/>
    </w:rPr>
  </w:style>
  <w:style w:type="paragraph" w:customStyle="1" w:styleId="TableListNumber">
    <w:name w:val="Table List Number"/>
    <w:basedOn w:val="ListNumber"/>
    <w:rsid w:val="00D51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8B2"/>
    <w:pPr>
      <w:numPr>
        <w:numId w:val="9"/>
      </w:numPr>
    </w:pPr>
  </w:style>
  <w:style w:type="paragraph" w:customStyle="1" w:styleId="ListAlpha2">
    <w:name w:val="List Alpha 2"/>
    <w:basedOn w:val="List2"/>
    <w:rsid w:val="00D518B2"/>
    <w:pPr>
      <w:numPr>
        <w:numId w:val="8"/>
      </w:numPr>
    </w:pPr>
  </w:style>
  <w:style w:type="paragraph" w:styleId="List2">
    <w:name w:val="List 2"/>
    <w:basedOn w:val="BodyText"/>
    <w:rsid w:val="00D51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8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8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8B2"/>
    <w:pPr>
      <w:numPr>
        <w:numId w:val="4"/>
      </w:numPr>
    </w:pPr>
  </w:style>
  <w:style w:type="paragraph" w:styleId="ListContinue2">
    <w:name w:val="List Continue 2"/>
    <w:basedOn w:val="List2"/>
    <w:rsid w:val="00D518B2"/>
    <w:pPr>
      <w:ind w:firstLine="0"/>
    </w:pPr>
  </w:style>
  <w:style w:type="paragraph" w:styleId="ListContinue3">
    <w:name w:val="List Continue 3"/>
    <w:basedOn w:val="List3"/>
    <w:rsid w:val="00D518B2"/>
    <w:pPr>
      <w:ind w:left="1021" w:firstLine="0"/>
    </w:pPr>
  </w:style>
  <w:style w:type="paragraph" w:styleId="ListContinue4">
    <w:name w:val="List Continue 4"/>
    <w:basedOn w:val="List4"/>
    <w:rsid w:val="00D518B2"/>
    <w:pPr>
      <w:ind w:firstLine="0"/>
    </w:pPr>
  </w:style>
  <w:style w:type="paragraph" w:styleId="ListContinue5">
    <w:name w:val="List Continue 5"/>
    <w:basedOn w:val="List5"/>
    <w:rsid w:val="00D518B2"/>
    <w:pPr>
      <w:ind w:firstLine="0"/>
    </w:pPr>
  </w:style>
  <w:style w:type="paragraph" w:styleId="ListNumber3">
    <w:name w:val="List Number 3"/>
    <w:basedOn w:val="List3"/>
    <w:rsid w:val="00D518B2"/>
    <w:pPr>
      <w:numPr>
        <w:numId w:val="5"/>
      </w:numPr>
    </w:pPr>
  </w:style>
  <w:style w:type="paragraph" w:styleId="ListNumber4">
    <w:name w:val="List Number 4"/>
    <w:basedOn w:val="List4"/>
    <w:rsid w:val="00D518B2"/>
    <w:pPr>
      <w:numPr>
        <w:numId w:val="6"/>
      </w:numPr>
    </w:pPr>
  </w:style>
  <w:style w:type="paragraph" w:styleId="ListNumber5">
    <w:name w:val="List Number 5"/>
    <w:basedOn w:val="List5"/>
    <w:rsid w:val="00D518B2"/>
    <w:pPr>
      <w:numPr>
        <w:numId w:val="7"/>
      </w:numPr>
    </w:pPr>
  </w:style>
  <w:style w:type="paragraph" w:styleId="BlockText">
    <w:name w:val="Block Text"/>
    <w:basedOn w:val="Normal"/>
    <w:rsid w:val="00D51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8B2"/>
    <w:rPr>
      <w:sz w:val="16"/>
      <w:vertAlign w:val="superscript"/>
    </w:rPr>
  </w:style>
  <w:style w:type="character" w:customStyle="1" w:styleId="Symbols">
    <w:name w:val="Symbols"/>
    <w:basedOn w:val="DefaultParagraphFont"/>
    <w:rsid w:val="00D518B2"/>
    <w:rPr>
      <w:rFonts w:ascii="Symbol" w:hAnsi="Symbol"/>
    </w:rPr>
  </w:style>
  <w:style w:type="character" w:customStyle="1" w:styleId="MenuOptions">
    <w:name w:val="Menu Options"/>
    <w:basedOn w:val="DefaultParagraphFont"/>
    <w:rsid w:val="00D51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8B2"/>
    <w:rPr>
      <w:b/>
    </w:rPr>
  </w:style>
  <w:style w:type="character" w:customStyle="1" w:styleId="Underlined">
    <w:name w:val="Underlined"/>
    <w:basedOn w:val="DefaultParagraphFont"/>
    <w:rsid w:val="00D518B2"/>
    <w:rPr>
      <w:u w:val="single"/>
    </w:rPr>
  </w:style>
  <w:style w:type="paragraph" w:customStyle="1" w:styleId="TableBodyTextRight">
    <w:name w:val="Table Body Text Right"/>
    <w:basedOn w:val="TableBodyText"/>
    <w:rsid w:val="00D51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8B2"/>
    <w:rPr>
      <w:sz w:val="18"/>
    </w:rPr>
  </w:style>
  <w:style w:type="paragraph" w:customStyle="1" w:styleId="BodySmallRight">
    <w:name w:val="Body Small Right"/>
    <w:basedOn w:val="BodyTextRight"/>
    <w:rsid w:val="00D518B2"/>
    <w:rPr>
      <w:sz w:val="18"/>
      <w:szCs w:val="18"/>
    </w:rPr>
  </w:style>
  <w:style w:type="paragraph" w:customStyle="1" w:styleId="MarginEdition">
    <w:name w:val="Margin Edition"/>
    <w:basedOn w:val="MarginNote"/>
    <w:rsid w:val="00D51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8B2"/>
    <w:rPr>
      <w:sz w:val="2"/>
      <w:szCs w:val="2"/>
    </w:rPr>
  </w:style>
  <w:style w:type="character" w:customStyle="1" w:styleId="Small">
    <w:name w:val="Small"/>
    <w:basedOn w:val="DefaultParagraphFont"/>
    <w:rsid w:val="00D518B2"/>
    <w:rPr>
      <w:sz w:val="16"/>
    </w:rPr>
  </w:style>
  <w:style w:type="paragraph" w:customStyle="1" w:styleId="WideTable">
    <w:name w:val="Wide Table"/>
    <w:basedOn w:val="Normal"/>
    <w:rsid w:val="00D51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8B2"/>
  </w:style>
  <w:style w:type="paragraph" w:styleId="Quote">
    <w:name w:val="Quote"/>
    <w:basedOn w:val="Heading1"/>
    <w:link w:val="QuoteChar"/>
    <w:qFormat/>
    <w:rsid w:val="00D51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8B2"/>
    <w:pPr>
      <w:pageBreakBefore/>
    </w:pPr>
  </w:style>
  <w:style w:type="paragraph" w:customStyle="1" w:styleId="Border">
    <w:name w:val="Border"/>
    <w:basedOn w:val="Normal"/>
    <w:qFormat/>
    <w:rsid w:val="00D51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8B2"/>
    <w:rPr>
      <w:u w:val="single"/>
    </w:rPr>
  </w:style>
  <w:style w:type="character" w:customStyle="1" w:styleId="BoldandItalics">
    <w:name w:val="Bold and Italics"/>
    <w:qFormat/>
    <w:rsid w:val="00D518B2"/>
    <w:rPr>
      <w:b/>
      <w:i/>
      <w:u w:val="none"/>
    </w:rPr>
  </w:style>
  <w:style w:type="paragraph" w:styleId="BalloonText">
    <w:name w:val="Balloon Text"/>
    <w:basedOn w:val="Normal"/>
    <w:link w:val="BalloonTextChar"/>
    <w:rsid w:val="00D51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8B2"/>
    <w:pPr>
      <w:spacing w:before="0" w:after="0"/>
    </w:pPr>
  </w:style>
  <w:style w:type="paragraph" w:customStyle="1" w:styleId="BodyTextBold">
    <w:name w:val="Body Text Bold"/>
    <w:basedOn w:val="BodyText"/>
    <w:qFormat/>
    <w:rsid w:val="00D518B2"/>
    <w:rPr>
      <w:b/>
    </w:rPr>
  </w:style>
  <w:style w:type="character" w:styleId="Hyperlink">
    <w:name w:val="Hyperlink"/>
    <w:basedOn w:val="DefaultParagraphFont"/>
    <w:uiPriority w:val="99"/>
    <w:unhideWhenUsed/>
    <w:rsid w:val="00576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4265</Characters>
  <Application>Microsoft Office Word</Application>
  <DocSecurity>0</DocSecurity>
  <Lines>129</Lines>
  <Paragraphs>111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HLTHPS001 Take clinical measurements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