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2AFE" w:rsidP="007E2AFE">
      <w:pPr>
        <w:pStyle w:val="Title"/>
      </w:pPr>
      <w:r>
        <w:fldChar w:fldCharType="begin"/>
      </w:r>
      <w:r>
        <w:instrText xml:space="preserve"> TITLE   \* MERGEFORMAT </w:instrText>
      </w:r>
      <w:r>
        <w:fldChar w:fldCharType="separate"/>
      </w:r>
      <w:r>
        <w:t>HLTFSE009 Apply cook-freeze and reheating processes</w:t>
      </w:r>
      <w:r>
        <w:fldChar w:fldCharType="end"/>
      </w:r>
    </w:p>
    <w:p w:rsidR="007E2AFE" w:rsidP="007E2AFE">
      <w:pPr>
        <w:pStyle w:val="Version"/>
        <w:sectPr w:rsidSect="00232E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2ECA" w:rsidP="00232ECA">
      <w:pPr>
        <w:pStyle w:val="SuperHeading"/>
      </w:pPr>
      <w:r w:rsidRPr="00232ECA">
        <w:t>HLTFSE009 Apply cook-freeze and reheating processes</w:t>
      </w:r>
    </w:p>
    <w:p w:rsidR="00000000" w:rsidRPr="00232ECA" w:rsidP="00232ECA">
      <w:pPr>
        <w:pStyle w:val="Heading1"/>
      </w:pPr>
      <w:bookmarkStart w:id="1" w:name="O_821707"/>
      <w:bookmarkEnd w:id="1"/>
      <w:r w:rsidRPr="00232ECA">
        <w:t>Modification History</w:t>
      </w:r>
    </w:p>
    <w:tbl>
      <w:tblPr>
        <w:tblW w:w="0" w:type="auto"/>
        <w:tblLayout w:type="fixed"/>
        <w:tblCellMar>
          <w:left w:w="62" w:type="dxa"/>
          <w:right w:w="62" w:type="dxa"/>
        </w:tblCellMar>
        <w:tblLook w:val="0000"/>
      </w:tblPr>
      <w:tblGrid>
        <w:gridCol w:w="2790"/>
        <w:gridCol w:w="6344"/>
      </w:tblGrid>
      <w:tr w:rsidTr="00232ECA">
        <w:tblPrEx>
          <w:tblW w:w="0" w:type="auto"/>
          <w:tblLayout w:type="fixed"/>
          <w:tblCellMar>
            <w:left w:w="62" w:type="dxa"/>
            <w:right w:w="62" w:type="dxa"/>
          </w:tblCellMar>
          <w:tblLook w:val="0000"/>
        </w:tblPrEx>
        <w:trPr>
          <w:trHeight w:val="496"/>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2ECA" w:rsidP="00232ECA">
            <w:pPr>
              <w:pStyle w:val="BodyText"/>
            </w:pPr>
            <w:r w:rsidRPr="00232EC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2ECA">
            <w:pPr>
              <w:pStyle w:val="BodyText"/>
              <w:rPr>
                <w:lang w:val="en-NZ"/>
              </w:rPr>
            </w:pPr>
            <w:r w:rsidRPr="00232ECA">
              <w:rPr>
                <w:rStyle w:val="SpecialBold"/>
              </w:rPr>
              <w:t>Comments</w:t>
            </w:r>
          </w:p>
        </w:tc>
      </w:tr>
      <w:tr w:rsidTr="00232ECA">
        <w:tblPrEx>
          <w:tblW w:w="0" w:type="auto"/>
          <w:tblLayout w:type="fixed"/>
          <w:tblCellMar>
            <w:left w:w="62" w:type="dxa"/>
            <w:right w:w="62" w:type="dxa"/>
          </w:tblCellMar>
          <w:tblLook w:val="0000"/>
        </w:tblPrEx>
        <w:trPr>
          <w:trHeight w:val="496"/>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2ECA">
            <w:pPr>
              <w:pStyle w:val="BodyText"/>
              <w:rPr>
                <w:lang w:val="en-NZ"/>
              </w:rPr>
            </w:pPr>
            <w:r w:rsidRPr="00232EC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2ECA" w:rsidP="00232ECA">
            <w:pPr>
              <w:pStyle w:val="BodyText"/>
            </w:pPr>
            <w:r w:rsidRPr="00232ECA">
              <w:t xml:space="preserve">This version was released in </w:t>
            </w:r>
            <w:r w:rsidRPr="00232ECA">
              <w:rPr>
                <w:rStyle w:val="Emphasis"/>
              </w:rPr>
              <w:t>HLT Health Training Package release 3.0</w:t>
            </w:r>
            <w:r w:rsidRPr="00232ECA">
              <w:t xml:space="preserve"> and meets the requirements of the 2012 Standards for Training Packages.</w:t>
            </w:r>
          </w:p>
          <w:p w:rsidR="00000000" w:rsidRPr="00232ECA" w:rsidP="00232ECA">
            <w:pPr>
              <w:pStyle w:val="BodyText"/>
            </w:pPr>
          </w:p>
          <w:p w:rsidR="00000000" w:rsidRPr="00232ECA" w:rsidP="00232ECA">
            <w:pPr>
              <w:pStyle w:val="BodyText"/>
            </w:pPr>
            <w:r w:rsidRPr="00232ECA">
              <w:t>Significant changes to the elements and performance crite</w:t>
            </w:r>
            <w:r w:rsidRPr="00232ECA">
              <w:t>ria. New evidence requirements for assessment, including volume and frequency requirements. Significant change to knowledge evidence. Removed prerequisite.</w:t>
            </w:r>
          </w:p>
          <w:p w:rsidR="00000000" w:rsidRPr="00232ECA" w:rsidP="00232ECA">
            <w:pPr>
              <w:pStyle w:val="BodyText"/>
            </w:pPr>
          </w:p>
          <w:p w:rsidR="00000000" w:rsidRPr="00232ECA" w:rsidP="00232ECA">
            <w:pPr>
              <w:pStyle w:val="BodyText"/>
            </w:pPr>
            <w:r w:rsidRPr="00232ECA">
              <w:t>Supersedes HLTFS203D</w:t>
            </w:r>
          </w:p>
        </w:tc>
      </w:tr>
    </w:tbl>
    <w:p w:rsidR="00000000" w:rsidRPr="00232ECA" w:rsidP="00232ECA">
      <w:pPr>
        <w:pStyle w:val="BodyText"/>
      </w:pPr>
    </w:p>
    <w:p w:rsidR="00000000" w:rsidRPr="00232ECA" w:rsidP="00232ECA">
      <w:pPr>
        <w:pStyle w:val="AllowPageBreak"/>
      </w:pPr>
    </w:p>
    <w:p w:rsidR="00000000" w:rsidRPr="00232ECA" w:rsidP="00232ECA">
      <w:pPr>
        <w:pStyle w:val="Heading1"/>
      </w:pPr>
      <w:bookmarkStart w:id="2" w:name="O_821708"/>
      <w:bookmarkEnd w:id="2"/>
      <w:r w:rsidRPr="00232ECA">
        <w:t>Application</w:t>
      </w:r>
    </w:p>
    <w:p w:rsidR="00000000" w:rsidRPr="00232ECA" w:rsidP="007E2AFE">
      <w:pPr>
        <w:pStyle w:val="BodyText"/>
      </w:pPr>
      <w:r w:rsidRPr="00232ECA">
        <w:t>This unit describes the skills and knowledge re</w:t>
      </w:r>
      <w:r w:rsidRPr="00232ECA">
        <w:t>quired to freeze, thaw and reheat food to ensure microbiological safety and palatability.</w:t>
      </w:r>
    </w:p>
    <w:p w:rsidR="00000000" w:rsidRPr="00232ECA" w:rsidP="007E2AFE">
      <w:pPr>
        <w:pStyle w:val="BodyText"/>
      </w:pPr>
      <w:r w:rsidRPr="00232ECA">
        <w:t xml:space="preserve">This unit applies to food services staff who work under supervision. </w:t>
      </w:r>
    </w:p>
    <w:p w:rsidR="00000000" w:rsidRPr="00232ECA" w:rsidP="007E2AFE">
      <w:pPr>
        <w:pStyle w:val="BodyText"/>
      </w:pPr>
      <w:r w:rsidRPr="00232ECA">
        <w:t>The skills in this unit must be applied in accordance with Commonwealth and State/Territory le</w:t>
      </w:r>
      <w:r w:rsidRPr="00232ECA">
        <w:t>gislation, Australian/New Zealand standards and industry codes of practice.</w:t>
      </w:r>
    </w:p>
    <w:p w:rsidR="00000000" w:rsidRPr="00232ECA" w:rsidP="00232ECA">
      <w:pPr>
        <w:pStyle w:val="Heading1"/>
      </w:pPr>
      <w:bookmarkStart w:id="3" w:name="O_821712"/>
      <w:bookmarkEnd w:id="3"/>
      <w:r w:rsidRPr="00232ECA">
        <w:t>Elements and Performance Criteria</w:t>
      </w:r>
    </w:p>
    <w:tbl>
      <w:tblPr>
        <w:tblW w:w="0" w:type="auto"/>
        <w:tblLayout w:type="fixed"/>
        <w:tblCellMar>
          <w:left w:w="62" w:type="dxa"/>
          <w:right w:w="62" w:type="dxa"/>
        </w:tblCellMar>
        <w:tblLook w:val="0000"/>
      </w:tblPr>
      <w:tblGrid>
        <w:gridCol w:w="3232"/>
        <w:gridCol w:w="5669"/>
      </w:tblGrid>
      <w:tr w:rsidTr="00232ECA">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RPr="00232ECA" w:rsidP="00232ECA">
            <w:pPr>
              <w:pStyle w:val="BodyText"/>
            </w:pPr>
            <w:r w:rsidRPr="00232ECA">
              <w:rPr>
                <w:rStyle w:val="SpecialBold"/>
              </w:rPr>
              <w:t>ELEMENT</w:t>
            </w:r>
          </w:p>
        </w:tc>
        <w:tc>
          <w:tcPr>
            <w:tcW w:w="5669" w:type="dxa"/>
            <w:tcBorders>
              <w:top w:val="nil"/>
              <w:left w:val="nil"/>
              <w:bottom w:val="nil"/>
              <w:right w:val="nil"/>
            </w:tcBorders>
            <w:tcMar>
              <w:top w:w="0" w:type="dxa"/>
              <w:left w:w="62" w:type="dxa"/>
              <w:bottom w:w="0" w:type="dxa"/>
              <w:right w:w="62" w:type="dxa"/>
            </w:tcMar>
            <w:vAlign w:val="center"/>
          </w:tcPr>
          <w:p w:rsidR="00000000" w:rsidP="00232ECA">
            <w:pPr>
              <w:pStyle w:val="BodyText"/>
              <w:rPr>
                <w:lang w:val="en-NZ"/>
              </w:rPr>
            </w:pPr>
            <w:r w:rsidRPr="00232ECA">
              <w:rPr>
                <w:rStyle w:val="SpecialBold"/>
              </w:rPr>
              <w:t>PERFORMANCE CRITERIA</w:t>
            </w:r>
          </w:p>
        </w:tc>
      </w:tr>
      <w:tr w:rsidTr="00232ECA">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232ECA" w:rsidP="00232ECA">
            <w:pPr>
              <w:pStyle w:val="BodyText"/>
            </w:pPr>
            <w:r w:rsidRPr="00232ECA">
              <w:rPr>
                <w:rStyle w:val="Emphasis"/>
              </w:rPr>
              <w:t xml:space="preserve">Elements define the essential </w:t>
            </w:r>
            <w:r w:rsidRPr="00232ECA">
              <w:t>outcomes.</w:t>
            </w:r>
          </w:p>
        </w:tc>
        <w:tc>
          <w:tcPr>
            <w:tcW w:w="5669" w:type="dxa"/>
            <w:tcBorders>
              <w:top w:val="nil"/>
              <w:left w:val="nil"/>
              <w:bottom w:val="nil"/>
              <w:right w:val="nil"/>
            </w:tcBorders>
            <w:tcMar>
              <w:top w:w="0" w:type="dxa"/>
              <w:left w:w="62" w:type="dxa"/>
              <w:bottom w:w="0" w:type="dxa"/>
              <w:right w:w="62" w:type="dxa"/>
            </w:tcMar>
          </w:tcPr>
          <w:p w:rsidR="00000000" w:rsidP="00232ECA">
            <w:pPr>
              <w:pStyle w:val="BodyText"/>
              <w:rPr>
                <w:lang w:val="en-NZ"/>
              </w:rPr>
            </w:pPr>
            <w:r w:rsidRPr="00232ECA">
              <w:rPr>
                <w:rStyle w:val="Emphasis"/>
              </w:rPr>
              <w:t>Perform</w:t>
            </w:r>
            <w:r w:rsidRPr="00232ECA">
              <w:rPr>
                <w:rStyle w:val="Emphasis"/>
              </w:rPr>
              <w:t xml:space="preserve">ance criteria specify the level of performance needed to demonstrate achievement of the element. </w:t>
            </w:r>
          </w:p>
        </w:tc>
      </w:tr>
      <w:tr w:rsidTr="00232ECA">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232ECA">
            <w:pPr>
              <w:pStyle w:val="BodyText"/>
              <w:rPr>
                <w:lang w:val="en-NZ"/>
              </w:rPr>
            </w:pPr>
            <w:r w:rsidRPr="00232ECA">
              <w:t>1. Receive and store goods in accordance with appropriate food hygiene and health standards</w:t>
            </w:r>
          </w:p>
        </w:tc>
        <w:tc>
          <w:tcPr>
            <w:tcW w:w="5669" w:type="dxa"/>
            <w:tcBorders>
              <w:top w:val="nil"/>
              <w:left w:val="nil"/>
              <w:bottom w:val="nil"/>
              <w:right w:val="nil"/>
            </w:tcBorders>
            <w:tcMar>
              <w:top w:w="0" w:type="dxa"/>
              <w:left w:w="62" w:type="dxa"/>
              <w:bottom w:w="0" w:type="dxa"/>
              <w:right w:w="62" w:type="dxa"/>
            </w:tcMar>
          </w:tcPr>
          <w:p w:rsidR="00000000" w:rsidRPr="00232ECA" w:rsidP="00232ECA">
            <w:pPr>
              <w:pStyle w:val="BodyText"/>
            </w:pPr>
            <w:r w:rsidRPr="00232ECA">
              <w:t>1.1 Check delivered goods to ensure correct quantities, appropria</w:t>
            </w:r>
            <w:r w:rsidRPr="00232ECA">
              <w:t>te use-by dates and temperature</w:t>
            </w:r>
          </w:p>
          <w:p w:rsidR="00000000" w:rsidRPr="00232ECA" w:rsidP="00232ECA">
            <w:pPr>
              <w:pStyle w:val="BodyText"/>
            </w:pPr>
            <w:r w:rsidRPr="00232ECA">
              <w:t>1.2 Record temperature check results</w:t>
            </w:r>
          </w:p>
          <w:p w:rsidR="00000000" w:rsidRPr="00232ECA" w:rsidP="00232ECA">
            <w:pPr>
              <w:pStyle w:val="BodyText"/>
            </w:pPr>
            <w:r w:rsidRPr="00232ECA">
              <w:t>1.3 Move stock to freezer storage</w:t>
            </w:r>
          </w:p>
          <w:p w:rsidR="00000000" w:rsidRPr="00232ECA" w:rsidP="00232ECA">
            <w:pPr>
              <w:pStyle w:val="BodyText"/>
            </w:pPr>
            <w:r w:rsidRPr="00232ECA">
              <w:t xml:space="preserve">1.4 Check and record freezer temperatures according to </w:t>
            </w:r>
            <w:r w:rsidRPr="00232ECA">
              <w:t>requirements</w:t>
            </w:r>
          </w:p>
          <w:p w:rsidR="00000000" w:rsidRPr="00232ECA" w:rsidP="00232ECA">
            <w:pPr>
              <w:pStyle w:val="BodyText"/>
            </w:pPr>
            <w:r w:rsidRPr="00232ECA">
              <w:t>1.5 Report departure from established standards concerning the receipt of goods, temp</w:t>
            </w:r>
            <w:r w:rsidRPr="00232ECA">
              <w:t>erature checks and stock quality</w:t>
            </w:r>
          </w:p>
          <w:p w:rsidR="00000000" w:rsidRPr="00232ECA" w:rsidP="00232ECA">
            <w:pPr>
              <w:pStyle w:val="BodyText"/>
            </w:pPr>
            <w:r w:rsidRPr="00232ECA">
              <w:t xml:space="preserve">1.6 Follow stock rotation procedures </w:t>
            </w:r>
          </w:p>
          <w:p w:rsidR="00000000" w:rsidP="00232ECA">
            <w:pPr>
              <w:pStyle w:val="BodyText"/>
              <w:rPr>
                <w:lang w:val="en-NZ"/>
              </w:rPr>
            </w:pPr>
            <w:r w:rsidRPr="00232ECA">
              <w:t>1.7 Discard expired stock</w:t>
            </w:r>
          </w:p>
        </w:tc>
      </w:tr>
      <w:tr w:rsidTr="00232ECA">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232ECA">
            <w:pPr>
              <w:pStyle w:val="BodyText"/>
              <w:rPr>
                <w:lang w:val="en-NZ"/>
              </w:rPr>
            </w:pPr>
            <w:r w:rsidRPr="00232ECA">
              <w:t xml:space="preserve">2. Prepare frozen food for reheating </w:t>
            </w:r>
          </w:p>
        </w:tc>
        <w:tc>
          <w:tcPr>
            <w:tcW w:w="5669" w:type="dxa"/>
            <w:tcBorders>
              <w:top w:val="nil"/>
              <w:left w:val="nil"/>
              <w:bottom w:val="nil"/>
              <w:right w:val="nil"/>
            </w:tcBorders>
            <w:tcMar>
              <w:top w:w="0" w:type="dxa"/>
              <w:left w:w="62" w:type="dxa"/>
              <w:bottom w:w="0" w:type="dxa"/>
              <w:right w:w="62" w:type="dxa"/>
            </w:tcMar>
          </w:tcPr>
          <w:p w:rsidR="00000000" w:rsidRPr="00232ECA" w:rsidP="00232ECA">
            <w:pPr>
              <w:pStyle w:val="BodyText"/>
            </w:pPr>
            <w:r w:rsidRPr="00232ECA">
              <w:t>2.1 Remove required items from freezer and place in chiller according to established procedures of the food service</w:t>
            </w:r>
          </w:p>
          <w:p w:rsidR="00000000" w:rsidRPr="00232ECA" w:rsidP="00232ECA">
            <w:pPr>
              <w:pStyle w:val="BodyText"/>
            </w:pPr>
            <w:r w:rsidRPr="00232ECA">
              <w:t>2.2 Space trays to permit air circulation</w:t>
            </w:r>
          </w:p>
          <w:p w:rsidR="00000000" w:rsidRPr="00232ECA" w:rsidP="00232ECA">
            <w:pPr>
              <w:pStyle w:val="BodyText"/>
            </w:pPr>
            <w:r w:rsidRPr="00232ECA">
              <w:t>2.3 Relax product to 0-4 degrees Celsius within 24 hours</w:t>
            </w:r>
          </w:p>
          <w:p w:rsidR="00000000" w:rsidP="00232ECA">
            <w:pPr>
              <w:pStyle w:val="BodyText"/>
              <w:rPr>
                <w:lang w:val="en-NZ"/>
              </w:rPr>
            </w:pPr>
            <w:r w:rsidRPr="00232ECA">
              <w:t>2.4 Safely transport to point of service while maintaining correct temperatures</w:t>
            </w:r>
          </w:p>
        </w:tc>
      </w:tr>
      <w:tr w:rsidTr="00232ECA">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232ECA">
            <w:pPr>
              <w:pStyle w:val="BodyText"/>
              <w:rPr>
                <w:lang w:val="en-NZ"/>
              </w:rPr>
            </w:pPr>
            <w:r w:rsidRPr="00232ECA">
              <w:t>3. Reheat food product</w:t>
            </w:r>
          </w:p>
        </w:tc>
        <w:tc>
          <w:tcPr>
            <w:tcW w:w="5669" w:type="dxa"/>
            <w:tcBorders>
              <w:top w:val="nil"/>
              <w:left w:val="nil"/>
              <w:bottom w:val="nil"/>
              <w:right w:val="nil"/>
            </w:tcBorders>
            <w:tcMar>
              <w:top w:w="0" w:type="dxa"/>
              <w:left w:w="62" w:type="dxa"/>
              <w:bottom w:w="0" w:type="dxa"/>
              <w:right w:w="62" w:type="dxa"/>
            </w:tcMar>
          </w:tcPr>
          <w:p w:rsidR="00000000" w:rsidRPr="00232ECA" w:rsidP="00232ECA">
            <w:pPr>
              <w:pStyle w:val="BodyText"/>
            </w:pPr>
            <w:r w:rsidRPr="00232ECA">
              <w:t>3.1 Pre-heat oven to meet temperature standards</w:t>
            </w:r>
          </w:p>
          <w:p w:rsidR="00000000" w:rsidRPr="00232ECA" w:rsidP="00232ECA">
            <w:pPr>
              <w:pStyle w:val="BodyText"/>
            </w:pPr>
            <w:r w:rsidRPr="00232ECA">
              <w:t>3.2 P</w:t>
            </w:r>
            <w:r w:rsidRPr="00232ECA">
              <w:t>repare product for reheating</w:t>
            </w:r>
          </w:p>
          <w:p w:rsidR="00000000" w:rsidRPr="00232ECA" w:rsidP="00232ECA">
            <w:pPr>
              <w:pStyle w:val="BodyText"/>
            </w:pPr>
            <w:r w:rsidRPr="00232ECA">
              <w:t>3.3 Space trays to allow air flow</w:t>
            </w:r>
          </w:p>
          <w:p w:rsidR="00000000" w:rsidRPr="00232ECA" w:rsidP="00232ECA">
            <w:pPr>
              <w:pStyle w:val="BodyText"/>
            </w:pPr>
            <w:r w:rsidRPr="00232ECA">
              <w:t>3.4 Use reheating times according to manufacturer</w:t>
            </w:r>
            <w:r>
              <w:t>’</w:t>
            </w:r>
            <w:r w:rsidRPr="00232ECA">
              <w:t>s recommendations, oven type, loading procedures and other established procedures for the food service</w:t>
            </w:r>
          </w:p>
          <w:p w:rsidR="00000000" w:rsidRPr="00232ECA" w:rsidP="00232ECA">
            <w:pPr>
              <w:pStyle w:val="BodyText"/>
            </w:pPr>
            <w:r w:rsidRPr="00232ECA">
              <w:t>3.5 Check and record product temperature</w:t>
            </w:r>
          </w:p>
          <w:p w:rsidR="00000000" w:rsidRPr="00232ECA" w:rsidP="00232ECA">
            <w:pPr>
              <w:pStyle w:val="BodyText"/>
            </w:pPr>
            <w:r w:rsidRPr="00232ECA">
              <w:t>3.6 Clean thermometers between checking each item</w:t>
            </w:r>
          </w:p>
          <w:p w:rsidR="00000000" w:rsidP="00232ECA">
            <w:pPr>
              <w:pStyle w:val="BodyText"/>
              <w:rPr>
                <w:lang w:val="en-NZ"/>
              </w:rPr>
            </w:pPr>
            <w:r w:rsidRPr="00232ECA">
              <w:t>3.7 Undertake reheating of non-relaxed food in emergencies according to established procedures of the food service</w:t>
            </w:r>
          </w:p>
        </w:tc>
      </w:tr>
      <w:tr w:rsidTr="00232ECA">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232ECA">
            <w:pPr>
              <w:pStyle w:val="BodyText"/>
              <w:rPr>
                <w:lang w:val="en-NZ"/>
              </w:rPr>
            </w:pPr>
            <w:r w:rsidRPr="00232ECA">
              <w:t>4. Serve reheated food</w:t>
            </w:r>
          </w:p>
        </w:tc>
        <w:tc>
          <w:tcPr>
            <w:tcW w:w="5669" w:type="dxa"/>
            <w:tcBorders>
              <w:top w:val="nil"/>
              <w:left w:val="nil"/>
              <w:bottom w:val="nil"/>
              <w:right w:val="nil"/>
            </w:tcBorders>
            <w:tcMar>
              <w:top w:w="0" w:type="dxa"/>
              <w:left w:w="62" w:type="dxa"/>
              <w:bottom w:w="0" w:type="dxa"/>
              <w:right w:w="62" w:type="dxa"/>
            </w:tcMar>
          </w:tcPr>
          <w:p w:rsidR="00000000" w:rsidRPr="00232ECA" w:rsidP="00232ECA">
            <w:pPr>
              <w:pStyle w:val="BodyText"/>
            </w:pPr>
            <w:r w:rsidRPr="00232ECA">
              <w:t>4.1 Transfer reheated food to heated bain-marie</w:t>
            </w:r>
          </w:p>
          <w:p w:rsidR="00000000" w:rsidRPr="00232ECA" w:rsidP="00232ECA">
            <w:pPr>
              <w:pStyle w:val="BodyText"/>
            </w:pPr>
            <w:r w:rsidRPr="00232ECA">
              <w:t>4.2 Maintain temperature at 70 degrees Celsius</w:t>
            </w:r>
          </w:p>
          <w:p w:rsidR="00000000" w:rsidRPr="00232ECA" w:rsidP="00232ECA">
            <w:pPr>
              <w:pStyle w:val="BodyText"/>
            </w:pPr>
            <w:r w:rsidRPr="00232ECA">
              <w:t>4.3 Minimise warm holdings</w:t>
            </w:r>
          </w:p>
          <w:p w:rsidR="00000000" w:rsidRPr="00232ECA" w:rsidP="00232ECA">
            <w:pPr>
              <w:pStyle w:val="BodyText"/>
            </w:pPr>
            <w:r w:rsidRPr="00232ECA">
              <w:t>4.4 Maintain portion control</w:t>
            </w:r>
          </w:p>
          <w:p w:rsidR="00000000" w:rsidRPr="00232ECA" w:rsidP="00232ECA">
            <w:pPr>
              <w:pStyle w:val="BodyText"/>
            </w:pPr>
            <w:r w:rsidRPr="00232ECA">
              <w:t>4.5 Serve or deliver the meal at a temperature that complies with food safety standards and policy of the food service</w:t>
            </w:r>
          </w:p>
        </w:tc>
      </w:tr>
    </w:tbl>
    <w:p w:rsidR="00000000" w:rsidRPr="00232ECA" w:rsidP="00232ECA">
      <w:pPr>
        <w:pStyle w:val="BodyText"/>
      </w:pPr>
    </w:p>
    <w:p w:rsidR="00000000" w:rsidRPr="00232ECA" w:rsidP="00232ECA">
      <w:pPr>
        <w:pStyle w:val="AllowPageBreak"/>
      </w:pPr>
    </w:p>
    <w:p w:rsidR="00000000" w:rsidRPr="00232ECA" w:rsidP="00232ECA">
      <w:pPr>
        <w:pStyle w:val="Heading1"/>
      </w:pPr>
      <w:bookmarkStart w:id="4" w:name="O_821713"/>
      <w:bookmarkEnd w:id="4"/>
      <w:r w:rsidRPr="00232ECA">
        <w:t>Foundation Skil</w:t>
      </w:r>
      <w:r w:rsidRPr="00232ECA">
        <w:t>ls</w:t>
      </w:r>
    </w:p>
    <w:p w:rsidR="007E2AFE" w:rsidRPr="007E2AFE" w:rsidP="007E2AFE">
      <w:pPr>
        <w:pStyle w:val="BodyText"/>
        <w:rPr>
          <w:i/>
        </w:rPr>
      </w:pPr>
      <w:r w:rsidRPr="007E2AFE">
        <w:rPr>
          <w:rStyle w:val="Emphasis"/>
        </w:rPr>
        <w:t>The Foundation Skills describe those required skills (language, literacy, numeracy and employment skills) that are essential to performance.</w:t>
      </w:r>
    </w:p>
    <w:p w:rsidR="00000000" w:rsidRPr="00232ECA" w:rsidP="007E2AFE">
      <w:pPr>
        <w:pStyle w:val="BodyText"/>
      </w:pPr>
      <w:r w:rsidRPr="00232ECA">
        <w:t>Foundation skills essential to performance are explicit in the performance criteria of this unit of competency</w:t>
      </w:r>
      <w:r w:rsidRPr="00232ECA">
        <w:t>.</w:t>
      </w:r>
    </w:p>
    <w:p w:rsidR="00000000" w:rsidRPr="00232ECA" w:rsidP="00232ECA">
      <w:pPr>
        <w:pStyle w:val="Heading1"/>
      </w:pPr>
      <w:bookmarkStart w:id="5" w:name="O_821715"/>
      <w:bookmarkEnd w:id="5"/>
      <w:r w:rsidRPr="00232ECA">
        <w:t>Unit Mapping Information</w:t>
      </w:r>
    </w:p>
    <w:p w:rsidR="00000000" w:rsidRPr="00232ECA" w:rsidP="007E2AFE">
      <w:pPr>
        <w:pStyle w:val="BodyText"/>
      </w:pPr>
      <w:r w:rsidRPr="00232ECA">
        <w:t>No equivalent unit</w:t>
      </w:r>
    </w:p>
    <w:p w:rsidR="00000000" w:rsidRPr="00232ECA" w:rsidP="00232ECA">
      <w:pPr>
        <w:pStyle w:val="Heading1"/>
      </w:pPr>
      <w:bookmarkStart w:id="6" w:name="O_821726"/>
      <w:bookmarkEnd w:id="6"/>
      <w:r w:rsidRPr="00232ECA">
        <w:t>Links</w:t>
      </w:r>
    </w:p>
    <w:p w:rsidR="00000000" w:rsidRPr="00232ECA" w:rsidP="007E2AFE">
      <w:pPr>
        <w:pStyle w:val="BodyText"/>
      </w:pPr>
      <w:r w:rsidRPr="00232EC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1204F">
        <w:rPr>
          <w:rStyle w:val="Hyperlink"/>
        </w:rPr>
        <w:t>https://vetnet.gov.au/Pages/TrainingDocs.aspx?q=ced1390f-48d9-4ab0-bd50-b015e5485705</w:t>
      </w:r>
      <w:r>
        <w:fldChar w:fldCharType="end"/>
      </w:r>
    </w:p>
    <w:p w:rsidR="00000000" w:rsidRPr="00232ECA" w:rsidP="007E2AFE">
      <w:pPr>
        <w:pStyle w:val="BodyText"/>
        <w:sectPr w:rsidSect="00232ECA">
          <w:headerReference w:type="default" r:id="rId10"/>
          <w:footerReference w:type="default" r:id="rId11"/>
          <w:pgSz w:w="11908" w:h="16833"/>
          <w:pgMar w:top="1702" w:right="1418" w:bottom="1702" w:left="1418" w:header="992" w:footer="992" w:gutter="0"/>
          <w:cols w:space="720"/>
          <w:noEndnote/>
          <w:docGrid w:linePitch="299"/>
        </w:sectPr>
      </w:pPr>
    </w:p>
    <w:p w:rsidR="00000000" w:rsidRPr="00232ECA" w:rsidP="00232ECA">
      <w:pPr>
        <w:pStyle w:val="SuperHeading"/>
      </w:pPr>
      <w:r w:rsidRPr="00232ECA">
        <w:t>Assessment Requirements for HLTFSE009 Apply cook-freeze and reheating processes</w:t>
      </w:r>
    </w:p>
    <w:p w:rsidR="00000000" w:rsidRPr="00232ECA" w:rsidP="00232ECA">
      <w:pPr>
        <w:pStyle w:val="Heading1"/>
      </w:pPr>
      <w:bookmarkStart w:id="7" w:name="O_821717"/>
      <w:bookmarkEnd w:id="7"/>
      <w:r w:rsidRPr="00232ECA">
        <w:t>Modification History</w:t>
      </w:r>
    </w:p>
    <w:tbl>
      <w:tblPr>
        <w:tblW w:w="0" w:type="auto"/>
        <w:tblLayout w:type="fixed"/>
        <w:tblCellMar>
          <w:left w:w="62" w:type="dxa"/>
          <w:right w:w="62" w:type="dxa"/>
        </w:tblCellMar>
        <w:tblLook w:val="0000"/>
      </w:tblPr>
      <w:tblGrid>
        <w:gridCol w:w="2790"/>
        <w:gridCol w:w="6344"/>
      </w:tblGrid>
      <w:tr w:rsidTr="00232ECA">
        <w:tblPrEx>
          <w:tblW w:w="0" w:type="auto"/>
          <w:tblLayout w:type="fixed"/>
          <w:tblCellMar>
            <w:left w:w="62" w:type="dxa"/>
            <w:right w:w="62" w:type="dxa"/>
          </w:tblCellMar>
          <w:tblLook w:val="0000"/>
        </w:tblPrEx>
        <w:trPr>
          <w:trHeight w:val="496"/>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2ECA" w:rsidP="00232ECA">
            <w:pPr>
              <w:pStyle w:val="BodyText"/>
            </w:pPr>
            <w:r w:rsidRPr="00232EC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2ECA">
            <w:pPr>
              <w:pStyle w:val="BodyText"/>
              <w:rPr>
                <w:lang w:val="en-NZ"/>
              </w:rPr>
            </w:pPr>
            <w:r w:rsidRPr="00232ECA">
              <w:rPr>
                <w:rStyle w:val="SpecialBold"/>
              </w:rPr>
              <w:t>Comments</w:t>
            </w:r>
          </w:p>
        </w:tc>
      </w:tr>
      <w:tr w:rsidTr="00232ECA">
        <w:tblPrEx>
          <w:tblW w:w="0" w:type="auto"/>
          <w:tblLayout w:type="fixed"/>
          <w:tblCellMar>
            <w:left w:w="62" w:type="dxa"/>
            <w:right w:w="62" w:type="dxa"/>
          </w:tblCellMar>
          <w:tblLook w:val="0000"/>
        </w:tblPrEx>
        <w:trPr>
          <w:trHeight w:val="496"/>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2ECA">
            <w:pPr>
              <w:pStyle w:val="BodyText"/>
              <w:rPr>
                <w:lang w:val="en-NZ"/>
              </w:rPr>
            </w:pPr>
            <w:r w:rsidRPr="00232EC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2ECA" w:rsidP="00232ECA">
            <w:pPr>
              <w:pStyle w:val="BodyText"/>
            </w:pPr>
            <w:r w:rsidRPr="00232ECA">
              <w:t xml:space="preserve">This version was released in </w:t>
            </w:r>
            <w:r w:rsidRPr="00232ECA">
              <w:rPr>
                <w:rStyle w:val="Emphasis"/>
              </w:rPr>
              <w:t>HLT Health Training Package release 3.0</w:t>
            </w:r>
            <w:r w:rsidRPr="00232ECA">
              <w:t xml:space="preserve"> and meets the requirements of the 2012 Standards for Training Packages.</w:t>
            </w:r>
          </w:p>
          <w:p w:rsidR="00000000" w:rsidRPr="00232ECA" w:rsidP="00232ECA">
            <w:pPr>
              <w:pStyle w:val="BodyText"/>
            </w:pPr>
          </w:p>
          <w:p w:rsidR="00000000" w:rsidRPr="00232ECA" w:rsidP="00232ECA">
            <w:pPr>
              <w:pStyle w:val="BodyText"/>
            </w:pPr>
            <w:r w:rsidRPr="00232ECA">
              <w:t>Significant changes to the elements and performance criteria. New evidence requirements for assessment, including volume and frequency requirem</w:t>
            </w:r>
            <w:r w:rsidRPr="00232ECA">
              <w:t>ents. Significant change to knowledge evidence. Removed prerequisite.</w:t>
            </w:r>
          </w:p>
          <w:p w:rsidR="00000000" w:rsidRPr="00232ECA" w:rsidP="00232ECA">
            <w:pPr>
              <w:pStyle w:val="BodyText"/>
            </w:pPr>
          </w:p>
          <w:p w:rsidR="00000000" w:rsidRPr="00232ECA" w:rsidP="00232ECA">
            <w:pPr>
              <w:pStyle w:val="BodyText"/>
            </w:pPr>
            <w:r w:rsidRPr="00232ECA">
              <w:t>Supersedes HLTFS203D</w:t>
            </w:r>
          </w:p>
        </w:tc>
      </w:tr>
    </w:tbl>
    <w:p w:rsidR="00000000" w:rsidRPr="00232ECA" w:rsidP="00232ECA">
      <w:pPr>
        <w:pStyle w:val="BodyText"/>
      </w:pPr>
    </w:p>
    <w:p w:rsidR="00000000" w:rsidRPr="00232ECA" w:rsidP="00232ECA">
      <w:pPr>
        <w:pStyle w:val="AllowPageBreak"/>
      </w:pPr>
    </w:p>
    <w:p w:rsidR="00000000" w:rsidRPr="00232ECA" w:rsidP="00232ECA">
      <w:pPr>
        <w:pStyle w:val="Heading1"/>
      </w:pPr>
      <w:bookmarkStart w:id="8" w:name="O_821718"/>
      <w:bookmarkEnd w:id="8"/>
      <w:r w:rsidRPr="00232ECA">
        <w:t>Performance Evidence</w:t>
      </w:r>
    </w:p>
    <w:p w:rsidR="00000000" w:rsidRPr="00232ECA" w:rsidP="007E2AFE">
      <w:pPr>
        <w:pStyle w:val="BodyText"/>
      </w:pPr>
      <w:r w:rsidRPr="00232ECA">
        <w:t xml:space="preserve">The candidate must show evidence of the ability to complete tasks outlined in the elements and performance criteria of this </w:t>
      </w:r>
      <w:r w:rsidRPr="00232ECA">
        <w:t>unit, manage tasks and manage contingencies in the context of the job role. There must be demonstrated evidence that the candidate has:</w:t>
      </w:r>
    </w:p>
    <w:p w:rsidR="00000000" w:rsidRPr="00232ECA" w:rsidP="00232ECA">
      <w:pPr>
        <w:pStyle w:val="ListBullet"/>
      </w:pPr>
      <w:r w:rsidRPr="00232ECA">
        <w:t>applied the correct procedures to handle 3 delivered food items, including:</w:t>
      </w:r>
    </w:p>
    <w:p w:rsidR="00000000" w:rsidRPr="00232ECA" w:rsidP="00232ECA">
      <w:pPr>
        <w:pStyle w:val="ListBullet2"/>
      </w:pPr>
      <w:r w:rsidRPr="00232ECA">
        <w:t>receiving and storing goods</w:t>
      </w:r>
    </w:p>
    <w:p w:rsidR="00000000" w:rsidRPr="00232ECA" w:rsidP="00232ECA">
      <w:pPr>
        <w:pStyle w:val="ListBullet2"/>
      </w:pPr>
      <w:r w:rsidRPr="00232ECA">
        <w:t>freezing and storing frozen food</w:t>
      </w:r>
    </w:p>
    <w:p w:rsidR="00000000" w:rsidRPr="00232ECA" w:rsidP="00232ECA">
      <w:pPr>
        <w:pStyle w:val="ListBullet2"/>
      </w:pPr>
      <w:r w:rsidRPr="00232ECA">
        <w:t>relaxing frozen food</w:t>
      </w:r>
    </w:p>
    <w:p w:rsidR="00000000" w:rsidRPr="00232ECA" w:rsidP="00232ECA">
      <w:pPr>
        <w:pStyle w:val="ListBullet2"/>
      </w:pPr>
      <w:r w:rsidRPr="00232ECA">
        <w:t>reheating food products</w:t>
      </w:r>
    </w:p>
    <w:p w:rsidR="00000000" w:rsidRPr="00232ECA" w:rsidP="00232ECA">
      <w:pPr>
        <w:pStyle w:val="ListBullet"/>
      </w:pPr>
      <w:r w:rsidRPr="00232ECA">
        <w:t>reheated 2 items of non-relaxed food to meet a supply emergency in accordance with established procedures.</w:t>
      </w:r>
    </w:p>
    <w:p w:rsidR="00000000" w:rsidRPr="00232ECA" w:rsidP="00232ECA">
      <w:pPr>
        <w:pStyle w:val="AllowPageBreak"/>
      </w:pPr>
    </w:p>
    <w:p w:rsidR="00000000" w:rsidRPr="00232ECA" w:rsidP="00232ECA">
      <w:pPr>
        <w:pStyle w:val="Heading1"/>
      </w:pPr>
      <w:bookmarkStart w:id="9" w:name="O_821719"/>
      <w:bookmarkEnd w:id="9"/>
      <w:r w:rsidRPr="00232ECA">
        <w:t>Knowledge Evidence</w:t>
      </w:r>
    </w:p>
    <w:p w:rsidR="00000000" w:rsidRPr="00232ECA" w:rsidP="007E2AFE">
      <w:pPr>
        <w:pStyle w:val="BodyText"/>
      </w:pPr>
      <w:r w:rsidRPr="00232ECA">
        <w:t>The candidate must be able to demonstrate essential knowledge required to effectively complete tasks outlined in the elements and performance criteria of this unit, manage tasks and manage contingencies in the context of the work role. This includes knowle</w:t>
      </w:r>
      <w:r w:rsidRPr="00232ECA">
        <w:t>dge of:</w:t>
      </w:r>
    </w:p>
    <w:p w:rsidR="00000000" w:rsidRPr="00232ECA" w:rsidP="00232ECA">
      <w:pPr>
        <w:pStyle w:val="ListBullet"/>
      </w:pPr>
      <w:r w:rsidRPr="00232ECA">
        <w:t>food storage and packing requirements</w:t>
      </w:r>
    </w:p>
    <w:p w:rsidR="00000000" w:rsidRPr="00232ECA" w:rsidP="00232ECA">
      <w:pPr>
        <w:pStyle w:val="ListBullet"/>
      </w:pPr>
      <w:r w:rsidRPr="00232ECA">
        <w:t xml:space="preserve">hazard analysis and critical control points (HACCP) </w:t>
      </w:r>
    </w:p>
    <w:p w:rsidR="00000000" w:rsidRPr="00232ECA" w:rsidP="00232ECA">
      <w:pPr>
        <w:pStyle w:val="ListBullet"/>
      </w:pPr>
      <w:r w:rsidRPr="00232ECA">
        <w:t>workplace health and safety (WHS), infection control and hygiene regulations</w:t>
      </w:r>
    </w:p>
    <w:p w:rsidR="00000000" w:rsidRPr="00232ECA" w:rsidP="00232ECA">
      <w:pPr>
        <w:pStyle w:val="ListBullet"/>
      </w:pPr>
      <w:r w:rsidRPr="00232ECA">
        <w:t>temperature specifications for the maintenance of food safety and quality</w:t>
      </w:r>
    </w:p>
    <w:p w:rsidR="00000000" w:rsidRPr="00232ECA" w:rsidP="00232ECA">
      <w:pPr>
        <w:pStyle w:val="ListBullet"/>
      </w:pPr>
      <w:r w:rsidRPr="00232ECA">
        <w:t>essential cook-freeze and reheating equipment and purposes</w:t>
      </w:r>
    </w:p>
    <w:p w:rsidR="00000000" w:rsidRPr="00232ECA" w:rsidP="00232ECA">
      <w:pPr>
        <w:pStyle w:val="ListBullet"/>
      </w:pPr>
      <w:r w:rsidRPr="00232ECA">
        <w:t>characteristics and uses of different pre-cooked food types subject to chilling and freezing:</w:t>
      </w:r>
    </w:p>
    <w:p w:rsidR="00000000" w:rsidRPr="00232ECA" w:rsidP="00232ECA">
      <w:pPr>
        <w:pStyle w:val="ListBullet2"/>
      </w:pPr>
      <w:r w:rsidRPr="00232ECA">
        <w:t>culinary terms and trade names</w:t>
      </w:r>
    </w:p>
    <w:p w:rsidR="00000000" w:rsidRPr="00232ECA" w:rsidP="00232ECA">
      <w:pPr>
        <w:pStyle w:val="ListBullet2"/>
      </w:pPr>
      <w:r w:rsidRPr="00232ECA">
        <w:t>bulk foods</w:t>
      </w:r>
    </w:p>
    <w:p w:rsidR="00000000" w:rsidRPr="00232ECA" w:rsidP="00232ECA">
      <w:pPr>
        <w:pStyle w:val="ListBullet2"/>
      </w:pPr>
      <w:r w:rsidRPr="00232ECA">
        <w:t>plated meals</w:t>
      </w:r>
    </w:p>
    <w:p w:rsidR="00000000" w:rsidRPr="00232ECA" w:rsidP="00232ECA">
      <w:pPr>
        <w:pStyle w:val="ListBullet2"/>
      </w:pPr>
      <w:r w:rsidRPr="00232ECA">
        <w:t>sous-vide products</w:t>
      </w:r>
    </w:p>
    <w:p w:rsidR="00000000" w:rsidRPr="00232ECA" w:rsidP="00232ECA">
      <w:pPr>
        <w:pStyle w:val="ListBullet2"/>
      </w:pPr>
      <w:r w:rsidRPr="00232ECA">
        <w:t>meals-on-wheels</w:t>
      </w:r>
    </w:p>
    <w:p w:rsidR="00000000" w:rsidRPr="00232ECA" w:rsidP="00232ECA">
      <w:pPr>
        <w:pStyle w:val="ListBullet2"/>
      </w:pPr>
      <w:r w:rsidRPr="00232ECA">
        <w:t>takeaway mea</w:t>
      </w:r>
      <w:r w:rsidRPr="00232ECA">
        <w:t>ls</w:t>
      </w:r>
    </w:p>
    <w:p w:rsidR="00000000" w:rsidRPr="00232ECA" w:rsidP="00232ECA">
      <w:pPr>
        <w:pStyle w:val="ListBullet"/>
      </w:pPr>
      <w:r w:rsidRPr="00232ECA">
        <w:t>contents of stock date codes and rotation labels</w:t>
      </w:r>
    </w:p>
    <w:p w:rsidR="00000000" w:rsidRPr="00232ECA" w:rsidP="00232ECA">
      <w:pPr>
        <w:pStyle w:val="ListBullet"/>
      </w:pPr>
      <w:r w:rsidRPr="00232ECA">
        <w:t>stock rotation principles, including first in first out</w:t>
      </w:r>
    </w:p>
    <w:p w:rsidR="00000000" w:rsidRPr="00232ECA" w:rsidP="00232ECA">
      <w:pPr>
        <w:pStyle w:val="ListBullet"/>
      </w:pPr>
      <w:r w:rsidRPr="00232ECA">
        <w:t>indicators of spoilage and contamination of chilled and frozen food items in storage</w:t>
      </w:r>
    </w:p>
    <w:p w:rsidR="00000000" w:rsidRPr="00232ECA" w:rsidP="00232ECA">
      <w:pPr>
        <w:pStyle w:val="ListBullet"/>
      </w:pPr>
      <w:r w:rsidRPr="00232ECA">
        <w:t xml:space="preserve">food safety procedures and methods for handling and serving a </w:t>
      </w:r>
      <w:r w:rsidRPr="00232ECA">
        <w:t>variety of uncooked and pre-cooked food:</w:t>
      </w:r>
    </w:p>
    <w:p w:rsidR="00000000" w:rsidRPr="00232ECA" w:rsidP="00232ECA">
      <w:pPr>
        <w:pStyle w:val="ListBullet2"/>
      </w:pPr>
      <w:r w:rsidRPr="00232ECA">
        <w:t>thawing</w:t>
      </w:r>
    </w:p>
    <w:p w:rsidR="00000000" w:rsidRPr="00232ECA" w:rsidP="00232ECA">
      <w:pPr>
        <w:pStyle w:val="ListBullet2"/>
      </w:pPr>
      <w:r w:rsidRPr="00232ECA">
        <w:t>transferring</w:t>
      </w:r>
    </w:p>
    <w:p w:rsidR="00000000" w:rsidRPr="00232ECA" w:rsidP="00232ECA">
      <w:pPr>
        <w:pStyle w:val="ListBullet2"/>
      </w:pPr>
      <w:r w:rsidRPr="00232ECA">
        <w:t>rethermalising</w:t>
      </w:r>
    </w:p>
    <w:p w:rsidR="00000000" w:rsidRPr="00232ECA" w:rsidP="00232ECA">
      <w:pPr>
        <w:pStyle w:val="ListBullet2"/>
      </w:pPr>
      <w:r w:rsidRPr="00232ECA">
        <w:t>maintaining reheated food items</w:t>
      </w:r>
    </w:p>
    <w:p w:rsidR="00000000" w:rsidRPr="00232ECA" w:rsidP="00232ECA">
      <w:pPr>
        <w:pStyle w:val="ListBullet"/>
      </w:pPr>
      <w:r w:rsidRPr="00232ECA">
        <w:t>quality indicators for rethermalised food items:</w:t>
      </w:r>
    </w:p>
    <w:p w:rsidR="00000000" w:rsidRPr="00232ECA" w:rsidP="00232ECA">
      <w:pPr>
        <w:pStyle w:val="ListBullet2"/>
      </w:pPr>
      <w:r w:rsidRPr="00232ECA">
        <w:t>appearance</w:t>
      </w:r>
    </w:p>
    <w:p w:rsidR="00000000" w:rsidRPr="00232ECA" w:rsidP="00232ECA">
      <w:pPr>
        <w:pStyle w:val="ListBullet2"/>
      </w:pPr>
      <w:r w:rsidRPr="00232ECA">
        <w:t>colour</w:t>
      </w:r>
    </w:p>
    <w:p w:rsidR="00000000" w:rsidRPr="00232ECA" w:rsidP="00232ECA">
      <w:pPr>
        <w:pStyle w:val="ListBullet2"/>
      </w:pPr>
      <w:r w:rsidRPr="00232ECA">
        <w:t>consistency</w:t>
      </w:r>
    </w:p>
    <w:p w:rsidR="00000000" w:rsidRPr="00232ECA" w:rsidP="00232ECA">
      <w:pPr>
        <w:pStyle w:val="ListBullet2"/>
      </w:pPr>
      <w:r w:rsidRPr="00232ECA">
        <w:t>moisture content</w:t>
      </w:r>
    </w:p>
    <w:p w:rsidR="00000000" w:rsidRPr="00232ECA" w:rsidP="00232ECA">
      <w:pPr>
        <w:pStyle w:val="ListBullet2"/>
      </w:pPr>
      <w:r w:rsidRPr="00232ECA">
        <w:t>shape</w:t>
      </w:r>
    </w:p>
    <w:p w:rsidR="00000000" w:rsidRPr="00232ECA" w:rsidP="00232ECA">
      <w:pPr>
        <w:pStyle w:val="ListBullet2"/>
      </w:pPr>
      <w:r w:rsidRPr="00232ECA">
        <w:t>size</w:t>
      </w:r>
    </w:p>
    <w:p w:rsidR="00000000" w:rsidRPr="00232ECA" w:rsidP="00232ECA">
      <w:pPr>
        <w:pStyle w:val="ListBullet2"/>
      </w:pPr>
      <w:r w:rsidRPr="00232ECA">
        <w:t>taste</w:t>
      </w:r>
    </w:p>
    <w:p w:rsidR="00000000" w:rsidRPr="00232ECA" w:rsidP="00232ECA">
      <w:pPr>
        <w:pStyle w:val="ListBullet2"/>
      </w:pPr>
      <w:r w:rsidRPr="00232ECA">
        <w:t>texture.</w:t>
      </w:r>
    </w:p>
    <w:p w:rsidR="00000000" w:rsidRPr="00232ECA" w:rsidP="00232ECA">
      <w:pPr>
        <w:pStyle w:val="AllowPageBreak"/>
      </w:pPr>
    </w:p>
    <w:p w:rsidR="00000000" w:rsidRPr="00232ECA" w:rsidP="00232ECA">
      <w:pPr>
        <w:pStyle w:val="Heading1"/>
      </w:pPr>
      <w:bookmarkStart w:id="10" w:name="O_821720"/>
      <w:bookmarkEnd w:id="10"/>
      <w:r w:rsidRPr="00232ECA">
        <w:t>Assessment Conditions</w:t>
      </w:r>
    </w:p>
    <w:p w:rsidR="00000000" w:rsidRPr="00232ECA" w:rsidP="007E2AFE">
      <w:pPr>
        <w:pStyle w:val="BodyText"/>
      </w:pPr>
      <w:r w:rsidRPr="00232ECA">
        <w:t>Skills must have been demonstrated in a workplace or a simulated environment that reflects workplace conditions. The following conditions must be met for this unit:</w:t>
      </w:r>
    </w:p>
    <w:p w:rsidR="00000000" w:rsidRPr="00232ECA" w:rsidP="00232ECA">
      <w:pPr>
        <w:pStyle w:val="ListBullet"/>
      </w:pPr>
      <w:r w:rsidRPr="00232ECA">
        <w:t>use of suitable facilities equipment and resources, including:</w:t>
      </w:r>
    </w:p>
    <w:p w:rsidR="00000000" w:rsidRPr="00232ECA" w:rsidP="00232ECA">
      <w:pPr>
        <w:pStyle w:val="ListBullet2"/>
      </w:pPr>
      <w:r w:rsidRPr="00232ECA">
        <w:t>food</w:t>
      </w:r>
      <w:r w:rsidRPr="00232ECA">
        <w:t xml:space="preserve"> service and food safety program policies and procedures</w:t>
      </w:r>
    </w:p>
    <w:p w:rsidR="00000000" w:rsidRPr="00232ECA" w:rsidP="00232ECA">
      <w:pPr>
        <w:pStyle w:val="ListBullet2"/>
      </w:pPr>
      <w:r w:rsidRPr="00232ECA">
        <w:t xml:space="preserve">food service facilities, equipment and utensils for handling, storing, freezing and reheating food </w:t>
      </w:r>
    </w:p>
    <w:p w:rsidR="00000000" w:rsidRPr="00232ECA" w:rsidP="00232ECA">
      <w:pPr>
        <w:pStyle w:val="ListBullet2"/>
      </w:pPr>
      <w:r w:rsidRPr="00232ECA">
        <w:t>appropriate clothing and footwear</w:t>
      </w:r>
    </w:p>
    <w:p w:rsidR="00000000" w:rsidRPr="00232ECA" w:rsidP="00232ECA">
      <w:pPr>
        <w:pStyle w:val="ListBullet2"/>
      </w:pPr>
      <w:r w:rsidRPr="00232ECA">
        <w:t>personal protective clothing and wound dressings</w:t>
      </w:r>
    </w:p>
    <w:p w:rsidR="00000000" w:rsidRPr="00232ECA" w:rsidP="00232ECA">
      <w:pPr>
        <w:pStyle w:val="ListBullet2"/>
      </w:pPr>
      <w:r w:rsidRPr="00232ECA">
        <w:t>hand washing fac</w:t>
      </w:r>
      <w:r w:rsidRPr="00232ECA">
        <w:t>ilities and equipment</w:t>
      </w:r>
    </w:p>
    <w:p w:rsidR="00000000" w:rsidRPr="00232ECA" w:rsidP="00232ECA">
      <w:pPr>
        <w:pStyle w:val="ListBullet"/>
      </w:pPr>
      <w:r w:rsidRPr="00232ECA">
        <w:t>modelling of industry operating conditions.</w:t>
      </w:r>
    </w:p>
    <w:p w:rsidR="00000000" w:rsidRPr="00232ECA" w:rsidP="007E2AFE">
      <w:pPr>
        <w:pStyle w:val="BodyText"/>
      </w:pPr>
      <w:r w:rsidRPr="00232ECA">
        <w:t>Assessors must satisfy the Standards for Registered Training Organisations (RTOs) 2015/AQTF mandatory competency requirements for assessors.</w:t>
      </w:r>
    </w:p>
    <w:p w:rsidR="00000000" w:rsidRPr="00232ECA" w:rsidP="00232ECA">
      <w:pPr>
        <w:pStyle w:val="Heading1"/>
      </w:pPr>
      <w:bookmarkStart w:id="11" w:name="O_821732"/>
      <w:bookmarkEnd w:id="11"/>
      <w:r w:rsidRPr="00232ECA">
        <w:t>Links</w:t>
      </w:r>
    </w:p>
    <w:p w:rsidR="00000000" w:rsidRPr="00232ECA" w:rsidP="007E2AFE">
      <w:pPr>
        <w:pStyle w:val="BodyText"/>
      </w:pPr>
      <w:r w:rsidRPr="00232EC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1204F">
        <w:rPr>
          <w:rStyle w:val="Hyperlink"/>
        </w:rPr>
        <w:t>https://vetnet.gov.au/Pages/TrainingDocs.aspx?q=ced1390f-48d9-4ab0-bd50-b015e5485705</w:t>
      </w:r>
      <w:r>
        <w:fldChar w:fldCharType="end"/>
      </w:r>
    </w:p>
    <w:p w:rsidR="00000000" w:rsidRPr="00232ECA" w:rsidP="00232ECA"/>
    <w:sectPr w:rsidSect="00232E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E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ECA" w:rsidRPr="007E2AFE" w:rsidP="007E2A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E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AFE" w:rsidP="00232E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2AFE" w:rsidP="00232E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E2AFE" w:rsidP="00232E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ECA" w:rsidP="00232ECA">
    <w:pPr>
      <w:pStyle w:val="Footer"/>
      <w:framePr w:wrap="around"/>
    </w:pPr>
    <w:r>
      <w:fldChar w:fldCharType="begin"/>
    </w:r>
    <w:r>
      <w:instrText xml:space="preserve"> DOCPROPERTY  Subject  \* MERGEFORMAT </w:instrText>
    </w:r>
    <w:r>
      <w:fldChar w:fldCharType="separate"/>
    </w:r>
    <w:r w:rsidR="007E2AFE">
      <w:t>Approved</w:t>
    </w:r>
    <w:r w:rsidR="007E2AFE">
      <w:fldChar w:fldCharType="end"/>
    </w:r>
    <w:r>
      <w:tab/>
      <w:t xml:space="preserve">Page </w:t>
    </w:r>
    <w:r>
      <w:fldChar w:fldCharType="begin"/>
    </w:r>
    <w:r>
      <w:instrText xml:space="preserve"> PAGE  \* Arabic  \* MERGEFORMAT </w:instrText>
    </w:r>
    <w:r>
      <w:fldChar w:fldCharType="separate"/>
    </w:r>
    <w:r w:rsidR="007E2AF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2AFE">
      <w:rPr>
        <w:noProof/>
      </w:rPr>
      <w:t>4</w:t>
    </w:r>
    <w:r>
      <w:rPr>
        <w:noProof/>
      </w:rPr>
      <w:fldChar w:fldCharType="end"/>
    </w:r>
  </w:p>
  <w:p w:rsidR="00232ECA" w:rsidP="00232ECA">
    <w:pPr>
      <w:pStyle w:val="Footer"/>
      <w:framePr w:wrap="around"/>
    </w:pPr>
    <w:r>
      <w:t xml:space="preserve">© Commonwealth of Australia, </w:t>
    </w:r>
    <w:r>
      <w:fldChar w:fldCharType="begin"/>
    </w:r>
    <w:r>
      <w:instrText xml:space="preserve"> DATE  \@ "yyyy"  \* MERGEFORMAT </w:instrText>
    </w:r>
    <w:r>
      <w:fldChar w:fldCharType="separate"/>
    </w:r>
    <w:r w:rsidR="007E2AFE">
      <w:rPr>
        <w:noProof/>
      </w:rPr>
      <w:t>2025</w:t>
    </w:r>
    <w:r>
      <w:fldChar w:fldCharType="end"/>
    </w:r>
    <w:r>
      <w:tab/>
    </w:r>
    <w:r>
      <w:fldChar w:fldCharType="begin"/>
    </w:r>
    <w:r>
      <w:instrText xml:space="preserve"> DOCPROPERTY  Author  \* MERGEFORMAT </w:instrText>
    </w:r>
    <w:r>
      <w:fldChar w:fldCharType="separate"/>
    </w:r>
    <w:r w:rsidR="007E2AFE">
      <w:t>HumanAbility</w:t>
    </w:r>
    <w:r w:rsidR="007E2AFE">
      <w:fldChar w:fldCharType="end"/>
    </w:r>
  </w:p>
  <w:p w:rsidR="00232ECA" w:rsidP="00232E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E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A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2ECA" w:rsidRPr="007E2AFE" w:rsidP="007E2A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E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AFE" w:rsidRPr="002D2AF8" w:rsidP="00232ECA">
    <w:pPr>
      <w:pStyle w:val="Header"/>
      <w:framePr w:wrap="around"/>
    </w:pPr>
    <w:r>
      <w:fldChar w:fldCharType="begin"/>
    </w:r>
    <w:r>
      <w:instrText xml:space="preserve"> TITLE   \* MERGEFORMAT </w:instrText>
    </w:r>
    <w:r>
      <w:fldChar w:fldCharType="separate"/>
    </w:r>
    <w:r>
      <w:t>HLTFSE009 Apply cook-freeze and reheating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E2AFE" w:rsidP="00232E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ECA" w:rsidRPr="002D2AF8" w:rsidP="00232ECA">
    <w:pPr>
      <w:pStyle w:val="Header"/>
      <w:framePr w:wrap="around"/>
    </w:pPr>
    <w:r>
      <w:fldChar w:fldCharType="begin"/>
    </w:r>
    <w:r>
      <w:instrText xml:space="preserve"> TITLE   \* MERGEFORMAT </w:instrText>
    </w:r>
    <w:r>
      <w:fldChar w:fldCharType="separate"/>
    </w:r>
    <w:r w:rsidR="007E2AFE">
      <w:t>HLTFSE009 Apply cook-freeze and reheating processes</w:t>
    </w:r>
    <w:r w:rsidR="007E2AFE">
      <w:fldChar w:fldCharType="end"/>
    </w:r>
    <w:r>
      <w:tab/>
      <w:t xml:space="preserve">Date this document was generated: </w:t>
    </w:r>
    <w:r>
      <w:fldChar w:fldCharType="begin"/>
    </w:r>
    <w:r>
      <w:instrText xml:space="preserve"> CREATEDATE  \@ "d MMMM yyyy"  \* MERGEFORMAT </w:instrText>
    </w:r>
    <w:r>
      <w:fldChar w:fldCharType="separate"/>
    </w:r>
    <w:r w:rsidR="007E2AFE">
      <w:rPr>
        <w:noProof/>
      </w:rPr>
      <w:t>2 March 2025</w:t>
    </w:r>
    <w:r>
      <w:fldChar w:fldCharType="end"/>
    </w:r>
  </w:p>
  <w:p w:rsidR="00232ECA" w:rsidP="00232E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60CF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2223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96B8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E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2ECA"/>
    <w:pPr>
      <w:spacing w:before="360" w:after="60"/>
      <w:outlineLvl w:val="0"/>
    </w:pPr>
    <w:rPr>
      <w:sz w:val="32"/>
    </w:rPr>
  </w:style>
  <w:style w:type="paragraph" w:styleId="Heading2">
    <w:name w:val="heading 2"/>
    <w:basedOn w:val="HeadingBase"/>
    <w:next w:val="BodyText"/>
    <w:link w:val="Heading2Char"/>
    <w:qFormat/>
    <w:rsid w:val="00232ECA"/>
    <w:pPr>
      <w:keepLines/>
      <w:spacing w:before="240" w:after="120"/>
      <w:outlineLvl w:val="1"/>
    </w:pPr>
    <w:rPr>
      <w:sz w:val="28"/>
      <w:szCs w:val="40"/>
    </w:rPr>
  </w:style>
  <w:style w:type="paragraph" w:styleId="Heading3">
    <w:name w:val="heading 3"/>
    <w:basedOn w:val="HeadingBase"/>
    <w:next w:val="BodyText"/>
    <w:link w:val="Heading3Char"/>
    <w:qFormat/>
    <w:rsid w:val="00232ECA"/>
    <w:pPr>
      <w:spacing w:before="180" w:after="120"/>
      <w:outlineLvl w:val="2"/>
    </w:pPr>
    <w:rPr>
      <w:spacing w:val="-10"/>
      <w:kern w:val="32"/>
    </w:rPr>
  </w:style>
  <w:style w:type="paragraph" w:styleId="Heading4">
    <w:name w:val="heading 4"/>
    <w:basedOn w:val="HeadingBase"/>
    <w:next w:val="BodyText"/>
    <w:link w:val="Heading4Char"/>
    <w:qFormat/>
    <w:rsid w:val="00232ECA"/>
    <w:pPr>
      <w:spacing w:before="160" w:after="120"/>
      <w:outlineLvl w:val="3"/>
    </w:pPr>
    <w:rPr>
      <w:sz w:val="22"/>
    </w:rPr>
  </w:style>
  <w:style w:type="paragraph" w:styleId="Heading5">
    <w:name w:val="heading 5"/>
    <w:basedOn w:val="HeadingBase"/>
    <w:next w:val="Normal"/>
    <w:link w:val="Heading5Char"/>
    <w:qFormat/>
    <w:rsid w:val="00232ECA"/>
    <w:pPr>
      <w:spacing w:before="80"/>
      <w:outlineLvl w:val="4"/>
    </w:pPr>
    <w:rPr>
      <w:color w:val="918585"/>
      <w:sz w:val="20"/>
    </w:rPr>
  </w:style>
  <w:style w:type="paragraph" w:styleId="Heading6">
    <w:name w:val="heading 6"/>
    <w:basedOn w:val="HeadingBase"/>
    <w:next w:val="Normal"/>
    <w:link w:val="Heading6Char"/>
    <w:qFormat/>
    <w:rsid w:val="00232ECA"/>
    <w:pPr>
      <w:spacing w:before="60"/>
      <w:outlineLvl w:val="5"/>
    </w:pPr>
    <w:rPr>
      <w:color w:val="918585"/>
      <w:sz w:val="20"/>
    </w:rPr>
  </w:style>
  <w:style w:type="paragraph" w:styleId="Heading7">
    <w:name w:val="heading 7"/>
    <w:basedOn w:val="Normal"/>
    <w:next w:val="Normal"/>
    <w:link w:val="Heading7Char"/>
    <w:qFormat/>
    <w:rsid w:val="00232ECA"/>
    <w:pPr>
      <w:ind w:left="720"/>
      <w:outlineLvl w:val="6"/>
    </w:pPr>
    <w:rPr>
      <w:i/>
    </w:rPr>
  </w:style>
  <w:style w:type="paragraph" w:styleId="Heading8">
    <w:name w:val="heading 8"/>
    <w:basedOn w:val="Normal"/>
    <w:next w:val="Normal"/>
    <w:link w:val="Heading8Char"/>
    <w:qFormat/>
    <w:rsid w:val="00232ECA"/>
    <w:pPr>
      <w:ind w:left="720"/>
      <w:outlineLvl w:val="7"/>
    </w:pPr>
    <w:rPr>
      <w:i/>
    </w:rPr>
  </w:style>
  <w:style w:type="paragraph" w:styleId="Heading9">
    <w:name w:val="heading 9"/>
    <w:basedOn w:val="Normal"/>
    <w:next w:val="Normal"/>
    <w:link w:val="Heading9Char"/>
    <w:qFormat/>
    <w:rsid w:val="00232ECA"/>
    <w:pPr>
      <w:ind w:left="720"/>
      <w:outlineLvl w:val="8"/>
    </w:pPr>
    <w:rPr>
      <w:i/>
    </w:rPr>
  </w:style>
  <w:style w:type="character" w:default="1" w:styleId="DefaultParagraphFont">
    <w:name w:val="Default Paragraph Font"/>
    <w:uiPriority w:val="1"/>
    <w:unhideWhenUsed/>
    <w:rsid w:val="00232E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2ECA"/>
  </w:style>
  <w:style w:type="character" w:customStyle="1" w:styleId="Heading1Char">
    <w:name w:val="Heading 1 Char"/>
    <w:basedOn w:val="DefaultParagraphFont"/>
    <w:link w:val="Heading1"/>
    <w:rsid w:val="00232ECA"/>
    <w:rPr>
      <w:rFonts w:ascii="Times New Roman" w:eastAsia="Times New Roman" w:hAnsi="Times New Roman" w:cs="Times New Roman"/>
      <w:b/>
      <w:sz w:val="32"/>
      <w:szCs w:val="20"/>
      <w:lang w:eastAsia="en-US"/>
    </w:rPr>
  </w:style>
  <w:style w:type="paragraph" w:styleId="BodyText">
    <w:name w:val="Body Text"/>
    <w:basedOn w:val="Normal"/>
    <w:link w:val="BodyTextChar"/>
    <w:rsid w:val="00232E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2ECA"/>
    <w:rPr>
      <w:rFonts w:ascii="Times New Roman" w:eastAsia="Times New Roman" w:hAnsi="Times New Roman" w:cs="Times New Roman"/>
      <w:sz w:val="24"/>
      <w:lang w:eastAsia="en-US"/>
    </w:rPr>
  </w:style>
  <w:style w:type="paragraph" w:styleId="ListBullet">
    <w:name w:val="List Bullet"/>
    <w:basedOn w:val="List"/>
    <w:rsid w:val="00232ECA"/>
    <w:pPr>
      <w:numPr>
        <w:numId w:val="12"/>
      </w:numPr>
      <w:tabs>
        <w:tab w:val="clear" w:pos="340"/>
      </w:tabs>
      <w:spacing w:before="40" w:after="40"/>
    </w:pPr>
  </w:style>
  <w:style w:type="character" w:customStyle="1" w:styleId="SpecialBold">
    <w:name w:val="Special Bold"/>
    <w:basedOn w:val="DefaultParagraphFont"/>
    <w:rsid w:val="00232ECA"/>
    <w:rPr>
      <w:b/>
      <w:spacing w:val="0"/>
    </w:rPr>
  </w:style>
  <w:style w:type="paragraph" w:styleId="ListBullet2">
    <w:name w:val="List Bullet 2"/>
    <w:basedOn w:val="List2"/>
    <w:rsid w:val="00232ECA"/>
    <w:pPr>
      <w:numPr>
        <w:numId w:val="13"/>
      </w:numPr>
      <w:tabs>
        <w:tab w:val="clear" w:pos="680"/>
      </w:tabs>
    </w:pPr>
  </w:style>
  <w:style w:type="character" w:styleId="Emphasis">
    <w:name w:val="Emphasis"/>
    <w:basedOn w:val="DefaultParagraphFont"/>
    <w:qFormat/>
    <w:rsid w:val="00232ECA"/>
    <w:rPr>
      <w:i/>
    </w:rPr>
  </w:style>
  <w:style w:type="paragraph" w:customStyle="1" w:styleId="SuperHeading">
    <w:name w:val="SuperHeading"/>
    <w:basedOn w:val="Normal"/>
    <w:rsid w:val="00232ECA"/>
    <w:pPr>
      <w:spacing w:before="240" w:after="120"/>
      <w:outlineLvl w:val="0"/>
    </w:pPr>
    <w:rPr>
      <w:rFonts w:ascii="Times New Roman" w:hAnsi="Times New Roman"/>
      <w:b/>
      <w:sz w:val="32"/>
    </w:rPr>
  </w:style>
  <w:style w:type="paragraph" w:customStyle="1" w:styleId="AllowPageBreak">
    <w:name w:val="AllowPageBreak"/>
    <w:rsid w:val="00232E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2E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2E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2E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2E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2E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2E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2E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2ECA"/>
    <w:rPr>
      <w:rFonts w:ascii="Courier New" w:eastAsia="Times New Roman" w:hAnsi="Courier New" w:cs="Times New Roman"/>
      <w:i/>
      <w:szCs w:val="20"/>
      <w:lang w:eastAsia="en-US"/>
    </w:rPr>
  </w:style>
  <w:style w:type="paragraph" w:customStyle="1" w:styleId="HeadingBase">
    <w:name w:val="Heading Base"/>
    <w:rsid w:val="00232E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2ECA"/>
    <w:pPr>
      <w:tabs>
        <w:tab w:val="right" w:leader="dot" w:pos="9072"/>
      </w:tabs>
      <w:ind w:left="567"/>
    </w:pPr>
    <w:rPr>
      <w:szCs w:val="22"/>
    </w:rPr>
  </w:style>
  <w:style w:type="paragraph" w:customStyle="1" w:styleId="TOCBase">
    <w:name w:val="TOC Base"/>
    <w:rsid w:val="00232E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2ECA"/>
    <w:pPr>
      <w:tabs>
        <w:tab w:val="right" w:leader="dot" w:pos="9072"/>
      </w:tabs>
      <w:spacing w:before="40" w:after="40"/>
      <w:ind w:left="284"/>
    </w:pPr>
    <w:rPr>
      <w:rFonts w:ascii="Times New Roman" w:hAnsi="Times New Roman"/>
    </w:rPr>
  </w:style>
  <w:style w:type="paragraph" w:styleId="TOC1">
    <w:name w:val="toc 1"/>
    <w:basedOn w:val="TOCBase"/>
    <w:next w:val="Normal"/>
    <w:rsid w:val="00232E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2E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2ECA"/>
    <w:rPr>
      <w:rFonts w:ascii="Times New Roman" w:eastAsia="Times New Roman" w:hAnsi="Times New Roman" w:cs="Times New Roman"/>
      <w:sz w:val="16"/>
      <w:lang w:eastAsia="en-US"/>
    </w:rPr>
  </w:style>
  <w:style w:type="paragraph" w:styleId="Title">
    <w:name w:val="Title"/>
    <w:basedOn w:val="HeadingBase"/>
    <w:link w:val="TitleChar"/>
    <w:qFormat/>
    <w:rsid w:val="00232ECA"/>
    <w:pPr>
      <w:spacing w:before="5040"/>
      <w:jc w:val="center"/>
    </w:pPr>
    <w:rPr>
      <w:sz w:val="48"/>
      <w:szCs w:val="72"/>
      <w:lang w:val="en-US"/>
    </w:rPr>
  </w:style>
  <w:style w:type="character" w:customStyle="1" w:styleId="TitleChar">
    <w:name w:val="Title Char"/>
    <w:basedOn w:val="DefaultParagraphFont"/>
    <w:link w:val="Title"/>
    <w:rsid w:val="00232E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2ECA"/>
    <w:pPr>
      <w:tabs>
        <w:tab w:val="left" w:pos="3600"/>
        <w:tab w:val="left" w:pos="3958"/>
      </w:tabs>
    </w:pPr>
  </w:style>
  <w:style w:type="paragraph" w:styleId="List">
    <w:name w:val="List"/>
    <w:basedOn w:val="BodyText"/>
    <w:next w:val="BodyText"/>
    <w:rsid w:val="00232ECA"/>
    <w:pPr>
      <w:tabs>
        <w:tab w:val="left" w:pos="340"/>
      </w:tabs>
      <w:spacing w:before="60" w:after="60"/>
      <w:ind w:left="340" w:hanging="340"/>
    </w:pPr>
  </w:style>
  <w:style w:type="paragraph" w:customStyle="1" w:styleId="Note">
    <w:name w:val="Note"/>
    <w:basedOn w:val="BodyText"/>
    <w:rsid w:val="00232E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2ECA"/>
    <w:pPr>
      <w:framePr w:wrap="auto" w:hAnchor="text" w:y="6049"/>
    </w:pPr>
    <w:rPr>
      <w:color w:val="000000"/>
      <w:sz w:val="40"/>
    </w:rPr>
  </w:style>
  <w:style w:type="paragraph" w:customStyle="1" w:styleId="TOCTitle">
    <w:name w:val="TOCTitle"/>
    <w:basedOn w:val="Heading1"/>
    <w:rsid w:val="00232ECA"/>
    <w:pPr>
      <w:spacing w:after="240"/>
      <w:jc w:val="center"/>
      <w:outlineLvl w:val="9"/>
    </w:pPr>
    <w:rPr>
      <w:caps/>
    </w:rPr>
  </w:style>
  <w:style w:type="paragraph" w:customStyle="1" w:styleId="Version">
    <w:name w:val="Version"/>
    <w:rsid w:val="00232E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2ECA"/>
    <w:pPr>
      <w:keepNext w:val="0"/>
      <w:tabs>
        <w:tab w:val="right" w:pos="4176"/>
      </w:tabs>
      <w:ind w:left="198" w:hanging="198"/>
    </w:pPr>
    <w:rPr>
      <w:rFonts w:ascii="Garamond" w:hAnsi="Garamond"/>
    </w:rPr>
  </w:style>
  <w:style w:type="paragraph" w:styleId="IndexHeading">
    <w:name w:val="index heading"/>
    <w:basedOn w:val="Normal"/>
    <w:next w:val="Index1"/>
    <w:semiHidden/>
    <w:rsid w:val="00232ECA"/>
    <w:pPr>
      <w:spacing w:before="120" w:after="120"/>
    </w:pPr>
    <w:rPr>
      <w:rFonts w:ascii="Arial" w:hAnsi="Arial"/>
      <w:b/>
      <w:color w:val="918585"/>
      <w:sz w:val="24"/>
    </w:rPr>
  </w:style>
  <w:style w:type="paragraph" w:styleId="Header">
    <w:name w:val="header"/>
    <w:basedOn w:val="Normal"/>
    <w:link w:val="HeaderChar"/>
    <w:rsid w:val="00232E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2ECA"/>
    <w:rPr>
      <w:rFonts w:ascii="Times New Roman" w:eastAsia="Times New Roman" w:hAnsi="Times New Roman" w:cs="Times New Roman"/>
      <w:sz w:val="16"/>
      <w:szCs w:val="20"/>
      <w:lang w:val="en-GB" w:eastAsia="en-US"/>
    </w:rPr>
  </w:style>
  <w:style w:type="paragraph" w:customStyle="1" w:styleId="Chapter">
    <w:name w:val="Chapter"/>
    <w:basedOn w:val="Normal"/>
    <w:rsid w:val="00232ECA"/>
    <w:pPr>
      <w:spacing w:before="240"/>
    </w:pPr>
    <w:rPr>
      <w:rFonts w:ascii="Times New Roman" w:hAnsi="Times New Roman"/>
      <w:smallCaps/>
      <w:spacing w:val="80"/>
      <w:sz w:val="28"/>
    </w:rPr>
  </w:style>
  <w:style w:type="paragraph" w:customStyle="1" w:styleId="InChapter">
    <w:name w:val="InChapter"/>
    <w:basedOn w:val="Heading3"/>
    <w:rsid w:val="00232ECA"/>
    <w:pPr>
      <w:spacing w:after="240"/>
      <w:outlineLvl w:val="9"/>
    </w:pPr>
    <w:rPr>
      <w:noProof/>
    </w:rPr>
  </w:style>
  <w:style w:type="paragraph" w:styleId="Index2">
    <w:name w:val="index 2"/>
    <w:basedOn w:val="Normal"/>
    <w:next w:val="Normal"/>
    <w:semiHidden/>
    <w:rsid w:val="00232ECA"/>
    <w:pPr>
      <w:tabs>
        <w:tab w:val="right" w:pos="4176"/>
      </w:tabs>
      <w:ind w:left="568" w:hanging="284"/>
    </w:pPr>
    <w:rPr>
      <w:rFonts w:ascii="Garamond" w:hAnsi="Garamond"/>
    </w:rPr>
  </w:style>
  <w:style w:type="paragraph" w:customStyle="1" w:styleId="Byline">
    <w:name w:val="Byline"/>
    <w:rsid w:val="00232E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2ECA"/>
    <w:pPr>
      <w:tabs>
        <w:tab w:val="clear" w:pos="3600"/>
        <w:tab w:val="clear" w:pos="3958"/>
      </w:tabs>
      <w:jc w:val="right"/>
    </w:pPr>
  </w:style>
  <w:style w:type="paragraph" w:styleId="Caption">
    <w:name w:val="caption"/>
    <w:basedOn w:val="BodyText"/>
    <w:next w:val="Normal"/>
    <w:qFormat/>
    <w:rsid w:val="00232ECA"/>
    <w:pPr>
      <w:framePr w:w="2268" w:hSpace="181" w:vSpace="181" w:wrap="around" w:vAnchor="text" w:hAnchor="page" w:x="1135" w:y="285" w:anchorLock="1"/>
    </w:pPr>
    <w:rPr>
      <w:i/>
    </w:rPr>
  </w:style>
  <w:style w:type="paragraph" w:customStyle="1" w:styleId="MiniTOCTitle">
    <w:name w:val="MiniTOCTitle"/>
    <w:basedOn w:val="Heading4"/>
    <w:rsid w:val="00232ECA"/>
    <w:pPr>
      <w:spacing w:before="240"/>
      <w:outlineLvl w:val="9"/>
    </w:pPr>
    <w:rPr>
      <w:noProof/>
      <w:sz w:val="24"/>
    </w:rPr>
  </w:style>
  <w:style w:type="paragraph" w:customStyle="1" w:styleId="MiniTOCItem">
    <w:name w:val="MiniTOCItem"/>
    <w:basedOn w:val="ListBullet"/>
    <w:rsid w:val="00232ECA"/>
    <w:pPr>
      <w:numPr>
        <w:numId w:val="0"/>
      </w:numPr>
      <w:tabs>
        <w:tab w:val="right" w:leader="dot" w:pos="6521"/>
      </w:tabs>
      <w:spacing w:before="0" w:after="0"/>
    </w:pPr>
  </w:style>
  <w:style w:type="paragraph" w:customStyle="1" w:styleId="TOFTitle">
    <w:name w:val="TOFTitle"/>
    <w:basedOn w:val="TOCTitle"/>
    <w:rsid w:val="00232ECA"/>
  </w:style>
  <w:style w:type="paragraph" w:styleId="TableofFigures">
    <w:name w:val="table of figures"/>
    <w:basedOn w:val="Normal"/>
    <w:next w:val="Normal"/>
    <w:semiHidden/>
    <w:rsid w:val="00232ECA"/>
    <w:pPr>
      <w:tabs>
        <w:tab w:val="right" w:leader="dot" w:pos="9072"/>
      </w:tabs>
      <w:ind w:left="970" w:hanging="403"/>
    </w:pPr>
    <w:rPr>
      <w:rFonts w:ascii="Times New Roman" w:hAnsi="Times New Roman"/>
      <w:b/>
    </w:rPr>
  </w:style>
  <w:style w:type="paragraph" w:styleId="ListNumber">
    <w:name w:val="List Number"/>
    <w:basedOn w:val="List"/>
    <w:rsid w:val="00232ECA"/>
    <w:pPr>
      <w:numPr>
        <w:numId w:val="15"/>
      </w:numPr>
      <w:tabs>
        <w:tab w:val="clear" w:pos="340"/>
      </w:tabs>
    </w:pPr>
  </w:style>
  <w:style w:type="character" w:customStyle="1" w:styleId="WingdingSymbols">
    <w:name w:val="Wingding Symbols"/>
    <w:rsid w:val="00232ECA"/>
    <w:rPr>
      <w:rFonts w:ascii="Wingdings" w:hAnsi="Wingdings"/>
    </w:rPr>
  </w:style>
  <w:style w:type="paragraph" w:customStyle="1" w:styleId="TableHeading">
    <w:name w:val="Table Heading"/>
    <w:basedOn w:val="HeadingBase"/>
    <w:rsid w:val="00232ECA"/>
    <w:pPr>
      <w:keepLines/>
      <w:pBdr>
        <w:bottom w:val="single" w:sz="6" w:space="1" w:color="918585"/>
      </w:pBdr>
      <w:spacing w:before="240"/>
    </w:pPr>
  </w:style>
  <w:style w:type="character" w:customStyle="1" w:styleId="HotSpot">
    <w:name w:val="HotSpot"/>
    <w:rsid w:val="00232ECA"/>
    <w:rPr>
      <w:color w:val="0033CC"/>
      <w:u w:val="none"/>
    </w:rPr>
  </w:style>
  <w:style w:type="paragraph" w:customStyle="1" w:styleId="BodyTextRight">
    <w:name w:val="Body Text Right"/>
    <w:basedOn w:val="BodyText"/>
    <w:rsid w:val="00232ECA"/>
    <w:pPr>
      <w:spacing w:before="0" w:after="0"/>
      <w:jc w:val="right"/>
    </w:pPr>
  </w:style>
  <w:style w:type="paragraph" w:styleId="Index3">
    <w:name w:val="index 3"/>
    <w:basedOn w:val="ListNumber2"/>
    <w:next w:val="Normal"/>
    <w:semiHidden/>
    <w:rsid w:val="00232ECA"/>
    <w:pPr>
      <w:numPr>
        <w:numId w:val="0"/>
      </w:numPr>
      <w:tabs>
        <w:tab w:val="right" w:leader="dot" w:pos="4176"/>
      </w:tabs>
    </w:pPr>
  </w:style>
  <w:style w:type="paragraph" w:styleId="ListNumber2">
    <w:name w:val="List Number 2"/>
    <w:basedOn w:val="List2"/>
    <w:rsid w:val="00232ECA"/>
    <w:pPr>
      <w:numPr>
        <w:numId w:val="10"/>
      </w:numPr>
      <w:tabs>
        <w:tab w:val="clear" w:pos="1060"/>
      </w:tabs>
    </w:pPr>
  </w:style>
  <w:style w:type="paragraph" w:customStyle="1" w:styleId="MarginNote">
    <w:name w:val="Margin Note"/>
    <w:basedOn w:val="BodyText"/>
    <w:rsid w:val="00232E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2E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2E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2ECA"/>
    <w:rPr>
      <w:sz w:val="32"/>
    </w:rPr>
  </w:style>
  <w:style w:type="paragraph" w:customStyle="1" w:styleId="HeadingProcedure">
    <w:name w:val="Heading Procedure"/>
    <w:basedOn w:val="HeadingBase"/>
    <w:next w:val="Normal"/>
    <w:rsid w:val="00232ECA"/>
    <w:pPr>
      <w:tabs>
        <w:tab w:val="left" w:pos="0"/>
      </w:tabs>
      <w:spacing w:before="120" w:after="60"/>
    </w:pPr>
    <w:rPr>
      <w:i/>
      <w:color w:val="918585"/>
      <w:sz w:val="22"/>
    </w:rPr>
  </w:style>
  <w:style w:type="paragraph" w:customStyle="1" w:styleId="TableBodyText">
    <w:name w:val="Table Body Text"/>
    <w:basedOn w:val="BodyText"/>
    <w:rsid w:val="00232ECA"/>
    <w:pPr>
      <w:spacing w:before="60" w:after="60"/>
    </w:pPr>
  </w:style>
  <w:style w:type="paragraph" w:styleId="ListContinue">
    <w:name w:val="List Continue"/>
    <w:basedOn w:val="List"/>
    <w:rsid w:val="00232ECA"/>
    <w:pPr>
      <w:ind w:firstLine="0"/>
    </w:pPr>
  </w:style>
  <w:style w:type="paragraph" w:customStyle="1" w:styleId="ListNote">
    <w:name w:val="List Note"/>
    <w:basedOn w:val="List"/>
    <w:rsid w:val="00232ECA"/>
    <w:pPr>
      <w:pBdr>
        <w:top w:val="single" w:sz="6" w:space="2" w:color="918585"/>
        <w:bottom w:val="single" w:sz="6" w:space="2" w:color="918585"/>
      </w:pBdr>
      <w:tabs>
        <w:tab w:val="left" w:pos="1021"/>
      </w:tabs>
      <w:ind w:firstLine="0"/>
    </w:pPr>
  </w:style>
  <w:style w:type="paragraph" w:customStyle="1" w:styleId="Warning">
    <w:name w:val="Warning"/>
    <w:basedOn w:val="BodyText"/>
    <w:rsid w:val="00232ECA"/>
    <w:pPr>
      <w:shd w:val="clear" w:color="auto" w:fill="D9D9D9"/>
      <w:tabs>
        <w:tab w:val="left" w:pos="992"/>
      </w:tabs>
      <w:ind w:left="119" w:right="119"/>
    </w:pPr>
    <w:rPr>
      <w:sz w:val="20"/>
    </w:rPr>
  </w:style>
  <w:style w:type="paragraph" w:customStyle="1" w:styleId="MarginIcons">
    <w:name w:val="Margin Icons"/>
    <w:basedOn w:val="BodyText"/>
    <w:rsid w:val="00232E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2ECA"/>
    <w:rPr>
      <w:rFonts w:ascii="Courier New" w:hAnsi="Courier New"/>
    </w:rPr>
  </w:style>
  <w:style w:type="paragraph" w:customStyle="1" w:styleId="NoteBullet">
    <w:name w:val="Note Bullet"/>
    <w:basedOn w:val="Note"/>
    <w:rsid w:val="00232ECA"/>
    <w:pPr>
      <w:tabs>
        <w:tab w:val="clear" w:pos="680"/>
      </w:tabs>
      <w:spacing w:before="60" w:after="60"/>
    </w:pPr>
  </w:style>
  <w:style w:type="paragraph" w:customStyle="1" w:styleId="SubHeading2">
    <w:name w:val="SubHeading2"/>
    <w:basedOn w:val="HeadingBase"/>
    <w:rsid w:val="00232ECA"/>
    <w:pPr>
      <w:spacing w:before="240" w:after="60"/>
    </w:pPr>
    <w:rPr>
      <w:sz w:val="20"/>
    </w:rPr>
  </w:style>
  <w:style w:type="paragraph" w:customStyle="1" w:styleId="SubHeading1">
    <w:name w:val="SubHeading1"/>
    <w:basedOn w:val="HeadingBase"/>
    <w:rsid w:val="00232ECA"/>
    <w:pPr>
      <w:spacing w:before="240" w:after="60"/>
    </w:pPr>
    <w:rPr>
      <w:color w:val="918585"/>
      <w:sz w:val="22"/>
    </w:rPr>
  </w:style>
  <w:style w:type="paragraph" w:customStyle="1" w:styleId="SideHeading">
    <w:name w:val="Side Heading"/>
    <w:basedOn w:val="HeadingBase"/>
    <w:rsid w:val="00232E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2ECA"/>
    <w:pPr>
      <w:tabs>
        <w:tab w:val="num" w:pos="360"/>
      </w:tabs>
    </w:pPr>
  </w:style>
  <w:style w:type="paragraph" w:styleId="PlainText">
    <w:name w:val="Plain Text"/>
    <w:basedOn w:val="Normal"/>
    <w:link w:val="PlainTextChar"/>
    <w:rsid w:val="00232ECA"/>
    <w:rPr>
      <w:sz w:val="20"/>
    </w:rPr>
  </w:style>
  <w:style w:type="character" w:customStyle="1" w:styleId="PlainTextChar">
    <w:name w:val="Plain Text Char"/>
    <w:basedOn w:val="DefaultParagraphFont"/>
    <w:link w:val="PlainText"/>
    <w:rsid w:val="00232ECA"/>
    <w:rPr>
      <w:rFonts w:ascii="Courier New" w:eastAsia="Times New Roman" w:hAnsi="Courier New" w:cs="Times New Roman"/>
      <w:sz w:val="20"/>
      <w:szCs w:val="20"/>
      <w:lang w:eastAsia="en-US"/>
    </w:rPr>
  </w:style>
  <w:style w:type="character" w:customStyle="1" w:styleId="MenuOption">
    <w:name w:val="Menu Option"/>
    <w:basedOn w:val="DefaultParagraphFont"/>
    <w:rsid w:val="00232ECA"/>
    <w:rPr>
      <w:b/>
      <w:smallCaps/>
    </w:rPr>
  </w:style>
  <w:style w:type="paragraph" w:customStyle="1" w:styleId="TableListNumber">
    <w:name w:val="Table List Number"/>
    <w:basedOn w:val="ListNumber"/>
    <w:rsid w:val="00232ECA"/>
    <w:pPr>
      <w:numPr>
        <w:numId w:val="0"/>
      </w:numPr>
    </w:pPr>
  </w:style>
  <w:style w:type="paragraph" w:styleId="TOC4">
    <w:name w:val="toc 4"/>
    <w:basedOn w:val="TOCBase"/>
    <w:next w:val="Normal"/>
    <w:semiHidden/>
    <w:rsid w:val="00232ECA"/>
    <w:pPr>
      <w:tabs>
        <w:tab w:val="right" w:leader="dot" w:pos="9071"/>
      </w:tabs>
      <w:ind w:left="1701"/>
    </w:pPr>
  </w:style>
  <w:style w:type="paragraph" w:customStyle="1" w:styleId="ListAlpha">
    <w:name w:val="List Alpha"/>
    <w:basedOn w:val="List"/>
    <w:rsid w:val="00232ECA"/>
    <w:pPr>
      <w:numPr>
        <w:numId w:val="9"/>
      </w:numPr>
    </w:pPr>
  </w:style>
  <w:style w:type="paragraph" w:customStyle="1" w:styleId="ListAlpha2">
    <w:name w:val="List Alpha 2"/>
    <w:basedOn w:val="List2"/>
    <w:rsid w:val="00232ECA"/>
    <w:pPr>
      <w:numPr>
        <w:numId w:val="8"/>
      </w:numPr>
    </w:pPr>
  </w:style>
  <w:style w:type="paragraph" w:styleId="List2">
    <w:name w:val="List 2"/>
    <w:basedOn w:val="BodyText"/>
    <w:rsid w:val="00232ECA"/>
    <w:pPr>
      <w:tabs>
        <w:tab w:val="left" w:pos="680"/>
      </w:tabs>
      <w:spacing w:before="60" w:after="60"/>
      <w:ind w:left="680" w:hanging="340"/>
    </w:pPr>
  </w:style>
  <w:style w:type="paragraph" w:styleId="List3">
    <w:name w:val="List 3"/>
    <w:basedOn w:val="BodyText"/>
    <w:rsid w:val="00232ECA"/>
    <w:pPr>
      <w:tabs>
        <w:tab w:val="left" w:pos="1021"/>
      </w:tabs>
      <w:spacing w:before="60" w:after="60"/>
      <w:ind w:left="1020" w:hanging="340"/>
    </w:pPr>
  </w:style>
  <w:style w:type="paragraph" w:styleId="List4">
    <w:name w:val="List 4"/>
    <w:basedOn w:val="BodyText"/>
    <w:rsid w:val="00232ECA"/>
    <w:pPr>
      <w:tabs>
        <w:tab w:val="left" w:pos="1361"/>
      </w:tabs>
      <w:spacing w:before="60" w:after="60"/>
      <w:ind w:left="1361" w:hanging="340"/>
    </w:pPr>
  </w:style>
  <w:style w:type="paragraph" w:styleId="List5">
    <w:name w:val="List 5"/>
    <w:basedOn w:val="BodyText"/>
    <w:rsid w:val="00232ECA"/>
    <w:pPr>
      <w:tabs>
        <w:tab w:val="left" w:pos="1701"/>
      </w:tabs>
      <w:spacing w:before="60" w:after="60"/>
      <w:ind w:left="1701" w:hanging="340"/>
    </w:pPr>
  </w:style>
  <w:style w:type="paragraph" w:styleId="ListBullet3">
    <w:name w:val="List Bullet 3"/>
    <w:basedOn w:val="List3"/>
    <w:rsid w:val="00232ECA"/>
    <w:pPr>
      <w:numPr>
        <w:numId w:val="14"/>
      </w:numPr>
      <w:tabs>
        <w:tab w:val="clear" w:pos="1021"/>
      </w:tabs>
      <w:ind w:left="1037" w:hanging="357"/>
    </w:pPr>
  </w:style>
  <w:style w:type="paragraph" w:styleId="ListBullet4">
    <w:name w:val="List Bullet 4"/>
    <w:basedOn w:val="List4"/>
    <w:rsid w:val="00232ECA"/>
    <w:pPr>
      <w:numPr>
        <w:numId w:val="3"/>
      </w:numPr>
      <w:tabs>
        <w:tab w:val="clear" w:pos="1361"/>
      </w:tabs>
    </w:pPr>
  </w:style>
  <w:style w:type="paragraph" w:styleId="ListBullet5">
    <w:name w:val="List Bullet 5"/>
    <w:basedOn w:val="List5"/>
    <w:rsid w:val="00232ECA"/>
    <w:pPr>
      <w:numPr>
        <w:numId w:val="4"/>
      </w:numPr>
    </w:pPr>
  </w:style>
  <w:style w:type="paragraph" w:styleId="ListContinue2">
    <w:name w:val="List Continue 2"/>
    <w:basedOn w:val="List2"/>
    <w:rsid w:val="00232ECA"/>
    <w:pPr>
      <w:ind w:firstLine="0"/>
    </w:pPr>
  </w:style>
  <w:style w:type="paragraph" w:styleId="ListContinue3">
    <w:name w:val="List Continue 3"/>
    <w:basedOn w:val="List3"/>
    <w:rsid w:val="00232ECA"/>
    <w:pPr>
      <w:ind w:left="1021" w:firstLine="0"/>
    </w:pPr>
  </w:style>
  <w:style w:type="paragraph" w:styleId="ListContinue4">
    <w:name w:val="List Continue 4"/>
    <w:basedOn w:val="List4"/>
    <w:rsid w:val="00232ECA"/>
    <w:pPr>
      <w:ind w:firstLine="0"/>
    </w:pPr>
  </w:style>
  <w:style w:type="paragraph" w:styleId="ListContinue5">
    <w:name w:val="List Continue 5"/>
    <w:basedOn w:val="List5"/>
    <w:rsid w:val="00232ECA"/>
    <w:pPr>
      <w:ind w:firstLine="0"/>
    </w:pPr>
  </w:style>
  <w:style w:type="paragraph" w:styleId="ListNumber3">
    <w:name w:val="List Number 3"/>
    <w:basedOn w:val="List3"/>
    <w:rsid w:val="00232ECA"/>
    <w:pPr>
      <w:numPr>
        <w:numId w:val="5"/>
      </w:numPr>
    </w:pPr>
  </w:style>
  <w:style w:type="paragraph" w:styleId="ListNumber4">
    <w:name w:val="List Number 4"/>
    <w:basedOn w:val="List4"/>
    <w:rsid w:val="00232ECA"/>
    <w:pPr>
      <w:numPr>
        <w:numId w:val="6"/>
      </w:numPr>
    </w:pPr>
  </w:style>
  <w:style w:type="paragraph" w:styleId="ListNumber5">
    <w:name w:val="List Number 5"/>
    <w:basedOn w:val="List5"/>
    <w:rsid w:val="00232ECA"/>
    <w:pPr>
      <w:numPr>
        <w:numId w:val="7"/>
      </w:numPr>
    </w:pPr>
  </w:style>
  <w:style w:type="paragraph" w:styleId="BlockText">
    <w:name w:val="Block Text"/>
    <w:basedOn w:val="Normal"/>
    <w:rsid w:val="00232ECA"/>
    <w:pPr>
      <w:spacing w:after="120"/>
      <w:ind w:left="1440" w:right="1440"/>
    </w:pPr>
  </w:style>
  <w:style w:type="character" w:customStyle="1" w:styleId="Subscript">
    <w:name w:val="Subscript"/>
    <w:basedOn w:val="DefaultParagraphFont"/>
    <w:rsid w:val="00232ECA"/>
    <w:rPr>
      <w:sz w:val="16"/>
      <w:vertAlign w:val="subscript"/>
    </w:rPr>
  </w:style>
  <w:style w:type="character" w:customStyle="1" w:styleId="Superscript">
    <w:name w:val="Superscript"/>
    <w:basedOn w:val="DefaultParagraphFont"/>
    <w:rsid w:val="00232ECA"/>
    <w:rPr>
      <w:sz w:val="16"/>
      <w:vertAlign w:val="superscript"/>
    </w:rPr>
  </w:style>
  <w:style w:type="character" w:customStyle="1" w:styleId="Symbols">
    <w:name w:val="Symbols"/>
    <w:basedOn w:val="DefaultParagraphFont"/>
    <w:rsid w:val="00232ECA"/>
    <w:rPr>
      <w:rFonts w:ascii="Symbol" w:hAnsi="Symbol"/>
    </w:rPr>
  </w:style>
  <w:style w:type="character" w:customStyle="1" w:styleId="MenuOptions">
    <w:name w:val="Menu Options"/>
    <w:basedOn w:val="DefaultParagraphFont"/>
    <w:rsid w:val="00232ECA"/>
    <w:rPr>
      <w:rFonts w:ascii="Arial Narrow" w:hAnsi="Arial Narrow"/>
      <w:smallCaps/>
    </w:rPr>
  </w:style>
  <w:style w:type="character" w:customStyle="1" w:styleId="Buttons">
    <w:name w:val="Buttons"/>
    <w:basedOn w:val="DefaultParagraphFont"/>
    <w:rsid w:val="00232ECA"/>
    <w:rPr>
      <w:b/>
    </w:rPr>
  </w:style>
  <w:style w:type="character" w:customStyle="1" w:styleId="Underlined">
    <w:name w:val="Underlined"/>
    <w:basedOn w:val="DefaultParagraphFont"/>
    <w:rsid w:val="00232ECA"/>
    <w:rPr>
      <w:u w:val="single"/>
    </w:rPr>
  </w:style>
  <w:style w:type="paragraph" w:customStyle="1" w:styleId="TableBodyTextRight">
    <w:name w:val="Table Body Text Right"/>
    <w:basedOn w:val="TableBodyText"/>
    <w:rsid w:val="00232ECA"/>
    <w:pPr>
      <w:widowControl w:val="0"/>
      <w:autoSpaceDE w:val="0"/>
      <w:autoSpaceDN w:val="0"/>
      <w:adjustRightInd w:val="0"/>
      <w:jc w:val="right"/>
    </w:pPr>
    <w:rPr>
      <w:rFonts w:cs="Arial"/>
      <w:szCs w:val="18"/>
    </w:rPr>
  </w:style>
  <w:style w:type="paragraph" w:customStyle="1" w:styleId="CopyrightText">
    <w:name w:val="Copyright Text"/>
    <w:basedOn w:val="BodyText"/>
    <w:rsid w:val="00232ECA"/>
    <w:rPr>
      <w:sz w:val="18"/>
    </w:rPr>
  </w:style>
  <w:style w:type="paragraph" w:customStyle="1" w:styleId="BodySmallRight">
    <w:name w:val="Body Small Right"/>
    <w:basedOn w:val="BodyTextRight"/>
    <w:rsid w:val="00232ECA"/>
    <w:rPr>
      <w:sz w:val="18"/>
      <w:szCs w:val="18"/>
    </w:rPr>
  </w:style>
  <w:style w:type="paragraph" w:customStyle="1" w:styleId="MarginEdition">
    <w:name w:val="Margin Edition"/>
    <w:basedOn w:val="MarginNote"/>
    <w:rsid w:val="00232ECA"/>
    <w:pPr>
      <w:spacing w:before="0" w:after="0"/>
    </w:pPr>
    <w:rPr>
      <w:rFonts w:ascii="Times New Roman" w:hAnsi="Times New Roman"/>
      <w:color w:val="999999"/>
    </w:rPr>
  </w:style>
  <w:style w:type="paragraph" w:customStyle="1" w:styleId="Spacer">
    <w:name w:val="Spacer"/>
    <w:basedOn w:val="Normal"/>
    <w:rsid w:val="00232ECA"/>
    <w:rPr>
      <w:sz w:val="2"/>
      <w:szCs w:val="2"/>
    </w:rPr>
  </w:style>
  <w:style w:type="character" w:customStyle="1" w:styleId="Small">
    <w:name w:val="Small"/>
    <w:basedOn w:val="DefaultParagraphFont"/>
    <w:rsid w:val="00232ECA"/>
    <w:rPr>
      <w:sz w:val="16"/>
    </w:rPr>
  </w:style>
  <w:style w:type="paragraph" w:customStyle="1" w:styleId="WideTable">
    <w:name w:val="Wide Table"/>
    <w:basedOn w:val="Normal"/>
    <w:rsid w:val="00232ECA"/>
    <w:pPr>
      <w:ind w:left="-1418"/>
    </w:pPr>
    <w:rPr>
      <w:sz w:val="2"/>
      <w:szCs w:val="2"/>
    </w:rPr>
  </w:style>
  <w:style w:type="character" w:styleId="PageNumber">
    <w:name w:val="page number"/>
    <w:basedOn w:val="DefaultParagraphFont"/>
    <w:rsid w:val="00232ECA"/>
  </w:style>
  <w:style w:type="paragraph" w:styleId="Quote">
    <w:name w:val="Quote"/>
    <w:basedOn w:val="Heading1"/>
    <w:link w:val="QuoteChar"/>
    <w:qFormat/>
    <w:rsid w:val="00232ECA"/>
    <w:rPr>
      <w:b w:val="0"/>
      <w:sz w:val="72"/>
      <w:szCs w:val="72"/>
      <w:lang w:val="en-NZ"/>
    </w:rPr>
  </w:style>
  <w:style w:type="character" w:customStyle="1" w:styleId="QuoteChar">
    <w:name w:val="Quote Char"/>
    <w:basedOn w:val="DefaultParagraphFont"/>
    <w:link w:val="Quote"/>
    <w:rsid w:val="00232E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2ECA"/>
    <w:pPr>
      <w:pageBreakBefore/>
    </w:pPr>
  </w:style>
  <w:style w:type="paragraph" w:customStyle="1" w:styleId="Border">
    <w:name w:val="Border"/>
    <w:basedOn w:val="Normal"/>
    <w:qFormat/>
    <w:rsid w:val="00232E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2ECA"/>
    <w:rPr>
      <w:b/>
      <w:bCs/>
      <w:i/>
      <w:iCs/>
      <w:color w:val="auto"/>
    </w:rPr>
  </w:style>
  <w:style w:type="paragraph" w:styleId="IntenseQuote">
    <w:name w:val="Intense Quote"/>
    <w:basedOn w:val="Normal"/>
    <w:next w:val="Normal"/>
    <w:link w:val="IntenseQuoteChar"/>
    <w:uiPriority w:val="30"/>
    <w:qFormat/>
    <w:rsid w:val="00232E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2E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2ECA"/>
    <w:rPr>
      <w:smallCaps/>
      <w:color w:val="auto"/>
      <w:u w:val="single"/>
    </w:rPr>
  </w:style>
  <w:style w:type="character" w:styleId="IntenseReference">
    <w:name w:val="Intense Reference"/>
    <w:basedOn w:val="DefaultParagraphFont"/>
    <w:uiPriority w:val="32"/>
    <w:qFormat/>
    <w:rsid w:val="00232ECA"/>
    <w:rPr>
      <w:b/>
      <w:bCs/>
      <w:smallCaps/>
      <w:color w:val="auto"/>
      <w:spacing w:val="5"/>
      <w:u w:val="single"/>
    </w:rPr>
  </w:style>
  <w:style w:type="paragraph" w:customStyle="1" w:styleId="2ColumnHeading">
    <w:name w:val="2Column Heading"/>
    <w:basedOn w:val="BodyText"/>
    <w:qFormat/>
    <w:rsid w:val="00232ECA"/>
    <w:pPr>
      <w:spacing w:after="60"/>
      <w:ind w:left="-2268"/>
    </w:pPr>
    <w:rPr>
      <w:b/>
    </w:rPr>
  </w:style>
  <w:style w:type="paragraph" w:customStyle="1" w:styleId="Heading1TOC">
    <w:name w:val="Heading1 TOC"/>
    <w:basedOn w:val="Normal"/>
    <w:qFormat/>
    <w:rsid w:val="00232ECA"/>
    <w:pPr>
      <w:spacing w:before="240" w:after="120"/>
    </w:pPr>
    <w:rPr>
      <w:rFonts w:ascii="Times New Roman" w:hAnsi="Times New Roman"/>
      <w:b/>
      <w:sz w:val="32"/>
    </w:rPr>
  </w:style>
  <w:style w:type="paragraph" w:customStyle="1" w:styleId="Heading2TOC">
    <w:name w:val="Heading2 TOC"/>
    <w:basedOn w:val="Normal"/>
    <w:qFormat/>
    <w:rsid w:val="00232ECA"/>
    <w:pPr>
      <w:spacing w:before="240" w:after="60"/>
    </w:pPr>
    <w:rPr>
      <w:rFonts w:ascii="Times New Roman" w:hAnsi="Times New Roman"/>
      <w:b/>
      <w:sz w:val="28"/>
    </w:rPr>
  </w:style>
  <w:style w:type="character" w:customStyle="1" w:styleId="Underline">
    <w:name w:val="Underline"/>
    <w:basedOn w:val="DefaultParagraphFont"/>
    <w:qFormat/>
    <w:rsid w:val="00232ECA"/>
    <w:rPr>
      <w:u w:val="single"/>
    </w:rPr>
  </w:style>
  <w:style w:type="character" w:customStyle="1" w:styleId="BoldandItalics">
    <w:name w:val="Bold and Italics"/>
    <w:qFormat/>
    <w:rsid w:val="00232ECA"/>
    <w:rPr>
      <w:b/>
      <w:i/>
      <w:u w:val="none"/>
    </w:rPr>
  </w:style>
  <w:style w:type="paragraph" w:styleId="BalloonText">
    <w:name w:val="Balloon Text"/>
    <w:basedOn w:val="Normal"/>
    <w:link w:val="BalloonTextChar"/>
    <w:rsid w:val="00232ECA"/>
    <w:rPr>
      <w:rFonts w:ascii="Tahoma" w:hAnsi="Tahoma" w:cs="Tahoma"/>
      <w:sz w:val="16"/>
      <w:szCs w:val="16"/>
    </w:rPr>
  </w:style>
  <w:style w:type="character" w:customStyle="1" w:styleId="BalloonTextChar">
    <w:name w:val="Balloon Text Char"/>
    <w:basedOn w:val="DefaultParagraphFont"/>
    <w:link w:val="BalloonText"/>
    <w:rsid w:val="00232E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2E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2E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2ECA"/>
    <w:rPr>
      <w:b/>
      <w:color w:val="660033"/>
      <w:spacing w:val="0"/>
    </w:rPr>
  </w:style>
  <w:style w:type="paragraph" w:customStyle="1" w:styleId="Nameditemlist">
    <w:name w:val="Named item list"/>
    <w:basedOn w:val="BodyText"/>
    <w:qFormat/>
    <w:rsid w:val="00232ECA"/>
    <w:pPr>
      <w:tabs>
        <w:tab w:val="left" w:pos="2835"/>
      </w:tabs>
      <w:ind w:left="2835" w:hanging="2835"/>
    </w:pPr>
  </w:style>
  <w:style w:type="paragraph" w:customStyle="1" w:styleId="BodyTextnopadding">
    <w:name w:val="Body Text no padding"/>
    <w:basedOn w:val="BodyText"/>
    <w:qFormat/>
    <w:rsid w:val="00232ECA"/>
    <w:pPr>
      <w:spacing w:before="0" w:after="0"/>
    </w:pPr>
  </w:style>
  <w:style w:type="paragraph" w:customStyle="1" w:styleId="BodyTextBold">
    <w:name w:val="Body Text Bold"/>
    <w:basedOn w:val="BodyText"/>
    <w:qFormat/>
    <w:rsid w:val="00232ECA"/>
    <w:rPr>
      <w:b/>
    </w:rPr>
  </w:style>
  <w:style w:type="character" w:styleId="Hyperlink">
    <w:name w:val="Hyperlink"/>
    <w:basedOn w:val="DefaultParagraphFont"/>
    <w:uiPriority w:val="99"/>
    <w:unhideWhenUsed/>
    <w:rsid w:val="007E2A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910</Words>
  <Characters>5829</Characters>
  <Application>Microsoft Office Word</Application>
  <DocSecurity>0</DocSecurity>
  <Lines>188</Lines>
  <Paragraphs>132</Paragraphs>
  <ScaleCrop>false</ScaleCrop>
  <Company>Author-it Software Corporation Ltd.</Company>
  <LinksUpToDate>false</LinksUpToDate>
  <CharactersWithSpaces>6607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HLTFSE009 Apply cook-freeze and reheating processes</dc:title>
  <dc:subject>Approved</dc:subject>
  <dc:creator>HumanAbility</dc:creator>
  <cp:keywords>Release: 1</cp:keywords>
  <dc:description>Review Date: 12 April 2008</dc:description>
  <cp:lastModifiedBy>HSD_TPCMSd.prod</cp:lastModifiedBy>
  <cp:revision>3</cp:revision>
  <dcterms:created xsi:type="dcterms:W3CDTF">2025-03-02T02:37:00Z</dcterms:created>
  <dcterms:modified xsi:type="dcterms:W3CDTF">2025-03-02T02:37:00Z</dcterms:modified>
</cp:coreProperties>
</file>