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C38" w:rsidP="00476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HLTFSE009 Apply cook-freeze and reheating processes</w:t>
      </w:r>
      <w:r>
        <w:fldChar w:fldCharType="end"/>
      </w:r>
    </w:p>
    <w:p w:rsidR="00476C38" w:rsidP="00476C38">
      <w:pPr>
        <w:pStyle w:val="Version"/>
        <w:sectPr w:rsidSect="00A52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043" w:rsidP="00A52043">
      <w:pPr>
        <w:pStyle w:val="SuperHeading"/>
      </w:pPr>
      <w:r w:rsidRPr="00A52043">
        <w:t>Assessment Requirements for HLTFSE009 Apply cook-freeze and reheating processes</w:t>
      </w:r>
    </w:p>
    <w:p w:rsidR="00000000" w:rsidRPr="00A52043" w:rsidP="00A52043">
      <w:pPr>
        <w:pStyle w:val="Heading1"/>
      </w:pPr>
      <w:bookmarkStart w:id="1" w:name="O_821717"/>
      <w:bookmarkEnd w:id="1"/>
      <w:r w:rsidRPr="00A520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5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43" w:rsidP="00A52043">
            <w:pPr>
              <w:pStyle w:val="BodyText"/>
            </w:pPr>
            <w:r w:rsidRPr="00A5204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43">
            <w:pPr>
              <w:pStyle w:val="BodyText"/>
              <w:rPr>
                <w:lang w:val="en-NZ"/>
              </w:rPr>
            </w:pPr>
            <w:r w:rsidRPr="00A52043">
              <w:rPr>
                <w:rStyle w:val="SpecialBold"/>
              </w:rPr>
              <w:t>Comments</w:t>
            </w:r>
          </w:p>
        </w:tc>
      </w:tr>
      <w:tr w:rsidTr="00A52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43">
            <w:pPr>
              <w:pStyle w:val="BodyText"/>
              <w:rPr>
                <w:lang w:val="en-NZ"/>
              </w:rPr>
            </w:pPr>
            <w:r w:rsidRPr="00A5204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43" w:rsidP="00A52043">
            <w:pPr>
              <w:pStyle w:val="BodyText"/>
            </w:pPr>
            <w:r w:rsidRPr="00A52043">
              <w:t xml:space="preserve">This version was released in </w:t>
            </w:r>
            <w:r w:rsidRPr="00A52043">
              <w:rPr>
                <w:rStyle w:val="Emphasis"/>
              </w:rPr>
              <w:t>HLT Health Training Package release 3.0</w:t>
            </w:r>
            <w:r w:rsidRPr="00A52043">
              <w:t xml:space="preserve"> and meets the requirements of the 2012 Standards for Training Packages.</w:t>
            </w:r>
          </w:p>
          <w:p w:rsidR="00000000" w:rsidRPr="00A52043" w:rsidP="00A52043">
            <w:pPr>
              <w:pStyle w:val="BodyText"/>
            </w:pPr>
          </w:p>
          <w:p w:rsidR="00000000" w:rsidRPr="00A52043" w:rsidP="00A52043">
            <w:pPr>
              <w:pStyle w:val="BodyText"/>
            </w:pPr>
            <w:r w:rsidRPr="00A52043">
              <w:t>Significant changes to the elements and performance criteria. New evidence requirements for assessment, including volume and frequency requirements. Significant change to knowledge e</w:t>
            </w:r>
            <w:r w:rsidRPr="00A52043">
              <w:t>vidence. Removed prerequisite.</w:t>
            </w:r>
          </w:p>
          <w:p w:rsidR="00000000" w:rsidRPr="00A52043" w:rsidP="00A52043">
            <w:pPr>
              <w:pStyle w:val="BodyText"/>
            </w:pPr>
          </w:p>
          <w:p w:rsidR="00000000" w:rsidRPr="00A52043" w:rsidP="00A52043">
            <w:pPr>
              <w:pStyle w:val="BodyText"/>
            </w:pPr>
            <w:r w:rsidRPr="00A52043">
              <w:t>Supersedes HLTFS203D</w:t>
            </w:r>
          </w:p>
        </w:tc>
      </w:tr>
    </w:tbl>
    <w:p w:rsidR="00000000" w:rsidRPr="00A52043" w:rsidP="00A52043">
      <w:pPr>
        <w:pStyle w:val="BodyText"/>
      </w:pPr>
    </w:p>
    <w:p w:rsidR="00000000" w:rsidRPr="00A52043" w:rsidP="00A52043">
      <w:pPr>
        <w:pStyle w:val="AllowPageBreak"/>
      </w:pPr>
    </w:p>
    <w:p w:rsidR="00000000" w:rsidRPr="00A52043" w:rsidP="00A52043">
      <w:pPr>
        <w:pStyle w:val="Heading1"/>
      </w:pPr>
      <w:bookmarkStart w:id="2" w:name="O_821718"/>
      <w:bookmarkEnd w:id="2"/>
      <w:r w:rsidRPr="00A52043">
        <w:t>Performance Evidence</w:t>
      </w:r>
    </w:p>
    <w:p w:rsidR="00000000" w:rsidRPr="00A52043" w:rsidP="00476C38">
      <w:pPr>
        <w:pStyle w:val="BodyText"/>
      </w:pPr>
      <w:r w:rsidRPr="00A52043">
        <w:t>The candidate must show evidence of the ability to complete tasks outlined in the elements and performance criteria of this unit, manage tasks and manage contingen</w:t>
      </w:r>
      <w:r w:rsidRPr="00A52043">
        <w:t>cies in the context of the job role. There must be demonstrated evidence that the candidate has:</w:t>
      </w:r>
    </w:p>
    <w:p w:rsidR="00000000" w:rsidRPr="00A52043" w:rsidP="00A52043">
      <w:pPr>
        <w:pStyle w:val="ListBullet"/>
      </w:pPr>
      <w:r w:rsidRPr="00A52043">
        <w:t>applied the correct procedures to handle 3 delivered food items, including:</w:t>
      </w:r>
    </w:p>
    <w:p w:rsidR="00000000" w:rsidRPr="00A52043" w:rsidP="00A52043">
      <w:pPr>
        <w:pStyle w:val="ListBullet2"/>
      </w:pPr>
      <w:r w:rsidRPr="00A52043">
        <w:t>receiving and storing goods</w:t>
      </w:r>
    </w:p>
    <w:p w:rsidR="00000000" w:rsidRPr="00A52043" w:rsidP="00A52043">
      <w:pPr>
        <w:pStyle w:val="ListBullet2"/>
      </w:pPr>
      <w:r w:rsidRPr="00A52043">
        <w:t>freezing and storing frozen food</w:t>
      </w:r>
    </w:p>
    <w:p w:rsidR="00000000" w:rsidRPr="00A52043" w:rsidP="00A52043">
      <w:pPr>
        <w:pStyle w:val="ListBullet2"/>
      </w:pPr>
      <w:r w:rsidRPr="00A52043">
        <w:t>relaxing frozen food</w:t>
      </w:r>
    </w:p>
    <w:p w:rsidR="00000000" w:rsidRPr="00A52043" w:rsidP="00A52043">
      <w:pPr>
        <w:pStyle w:val="ListBullet2"/>
      </w:pPr>
      <w:r w:rsidRPr="00A52043">
        <w:t>reheating food products</w:t>
      </w:r>
    </w:p>
    <w:p w:rsidR="00000000" w:rsidRPr="00A52043" w:rsidP="00A52043">
      <w:pPr>
        <w:pStyle w:val="ListBullet"/>
      </w:pPr>
      <w:r w:rsidRPr="00A52043">
        <w:t>reheated 2 items of non-relaxed food to meet a supply emergency in accordance with established procedures.</w:t>
      </w:r>
    </w:p>
    <w:p w:rsidR="00000000" w:rsidRPr="00A52043" w:rsidP="00A52043">
      <w:pPr>
        <w:pStyle w:val="AllowPageBreak"/>
      </w:pPr>
    </w:p>
    <w:p w:rsidR="00000000" w:rsidRPr="00A52043" w:rsidP="00A52043">
      <w:pPr>
        <w:pStyle w:val="Heading1"/>
      </w:pPr>
      <w:bookmarkStart w:id="3" w:name="O_821719"/>
      <w:bookmarkEnd w:id="3"/>
      <w:r w:rsidRPr="00A52043">
        <w:t>Knowledge Evidence</w:t>
      </w:r>
    </w:p>
    <w:p w:rsidR="00000000" w:rsidRPr="00A52043" w:rsidP="00476C38">
      <w:pPr>
        <w:pStyle w:val="BodyText"/>
      </w:pPr>
      <w:r w:rsidRPr="00A52043">
        <w:t>The candidate must be able to demonstrate essential knowledge required to effectively c</w:t>
      </w:r>
      <w:r w:rsidRPr="00A52043">
        <w:t>omplete tasks outlined in the elements and performance criteria of this unit, manage tasks and manage contingencies in the context of the work role. This includes knowledge of:</w:t>
      </w:r>
    </w:p>
    <w:p w:rsidR="00000000" w:rsidRPr="00A52043" w:rsidP="00A52043">
      <w:pPr>
        <w:pStyle w:val="ListBullet"/>
      </w:pPr>
      <w:r w:rsidRPr="00A52043">
        <w:t>food storage and packing requirements</w:t>
      </w:r>
    </w:p>
    <w:p w:rsidR="00000000" w:rsidRPr="00A52043" w:rsidP="00A52043">
      <w:pPr>
        <w:pStyle w:val="ListBullet"/>
      </w:pPr>
      <w:r w:rsidRPr="00A52043">
        <w:t>hazard analysis and critical control poi</w:t>
      </w:r>
      <w:r w:rsidRPr="00A52043">
        <w:t xml:space="preserve">nts (HACCP) </w:t>
      </w:r>
    </w:p>
    <w:p w:rsidR="00000000" w:rsidRPr="00A52043" w:rsidP="00A52043">
      <w:pPr>
        <w:pStyle w:val="ListBullet"/>
      </w:pPr>
      <w:r w:rsidRPr="00A52043">
        <w:t>workplace health and safety (WHS), infection control and hygiene regulations</w:t>
      </w:r>
    </w:p>
    <w:p w:rsidR="00000000" w:rsidRPr="00A52043" w:rsidP="00A52043">
      <w:pPr>
        <w:pStyle w:val="ListBullet"/>
      </w:pPr>
      <w:r w:rsidRPr="00A52043">
        <w:t>temperature specifications for the maintenance of food safety and quality</w:t>
      </w:r>
    </w:p>
    <w:p w:rsidR="00000000" w:rsidRPr="00A52043" w:rsidP="00A52043">
      <w:pPr>
        <w:pStyle w:val="ListBullet"/>
      </w:pPr>
      <w:r w:rsidRPr="00A52043">
        <w:t>essential cook-freeze and reheating equipment and purposes</w:t>
      </w:r>
    </w:p>
    <w:p w:rsidR="00000000" w:rsidRPr="00A52043" w:rsidP="00A52043">
      <w:pPr>
        <w:pStyle w:val="ListBullet"/>
      </w:pPr>
      <w:r w:rsidRPr="00A52043">
        <w:t>characteristics and uses of diffe</w:t>
      </w:r>
      <w:r w:rsidRPr="00A52043">
        <w:t>rent pre-cooked food types subject to chilling and freezing:</w:t>
      </w:r>
    </w:p>
    <w:p w:rsidR="00000000" w:rsidRPr="00A52043" w:rsidP="00A52043">
      <w:pPr>
        <w:pStyle w:val="ListBullet2"/>
      </w:pPr>
      <w:r w:rsidRPr="00A52043">
        <w:t>culinary terms and trade names</w:t>
      </w:r>
    </w:p>
    <w:p w:rsidR="00000000" w:rsidRPr="00A52043" w:rsidP="00A52043">
      <w:pPr>
        <w:pStyle w:val="ListBullet2"/>
      </w:pPr>
      <w:r w:rsidRPr="00A52043">
        <w:t>bulk foods</w:t>
      </w:r>
    </w:p>
    <w:p w:rsidR="00000000" w:rsidRPr="00A52043" w:rsidP="00A52043">
      <w:pPr>
        <w:pStyle w:val="ListBullet2"/>
      </w:pPr>
      <w:r w:rsidRPr="00A52043">
        <w:t>plated meals</w:t>
      </w:r>
    </w:p>
    <w:p w:rsidR="00000000" w:rsidRPr="00A52043" w:rsidP="00A52043">
      <w:pPr>
        <w:pStyle w:val="ListBullet2"/>
      </w:pPr>
      <w:r w:rsidRPr="00A52043">
        <w:t>sous-vide products</w:t>
      </w:r>
    </w:p>
    <w:p w:rsidR="00000000" w:rsidRPr="00A52043" w:rsidP="00A52043">
      <w:pPr>
        <w:pStyle w:val="ListBullet2"/>
      </w:pPr>
      <w:r w:rsidRPr="00A52043">
        <w:t>meals-on-wheels</w:t>
      </w:r>
    </w:p>
    <w:p w:rsidR="00000000" w:rsidRPr="00A52043" w:rsidP="00A52043">
      <w:pPr>
        <w:pStyle w:val="ListBullet2"/>
      </w:pPr>
      <w:r w:rsidRPr="00A52043">
        <w:t>takeaway meals</w:t>
      </w:r>
    </w:p>
    <w:p w:rsidR="00000000" w:rsidRPr="00A52043" w:rsidP="00A52043">
      <w:pPr>
        <w:pStyle w:val="ListBullet"/>
      </w:pPr>
      <w:r w:rsidRPr="00A52043">
        <w:t>contents of stock date codes and rotation labels</w:t>
      </w:r>
    </w:p>
    <w:p w:rsidR="00000000" w:rsidRPr="00A52043" w:rsidP="00A52043">
      <w:pPr>
        <w:pStyle w:val="ListBullet"/>
      </w:pPr>
      <w:r w:rsidRPr="00A52043">
        <w:t>stock rotation principles, including first in first out</w:t>
      </w:r>
    </w:p>
    <w:p w:rsidR="00000000" w:rsidRPr="00A52043" w:rsidP="00A52043">
      <w:pPr>
        <w:pStyle w:val="ListBullet"/>
      </w:pPr>
      <w:r w:rsidRPr="00A52043">
        <w:t>indicators of spoilage and contamination of chilled and frozen food items in storage</w:t>
      </w:r>
    </w:p>
    <w:p w:rsidR="00000000" w:rsidRPr="00A52043" w:rsidP="00A52043">
      <w:pPr>
        <w:pStyle w:val="ListBullet"/>
      </w:pPr>
      <w:r w:rsidRPr="00A52043">
        <w:t>food safety procedures and methods for handling and serving a variety of uncooked and pre-cooked food:</w:t>
      </w:r>
    </w:p>
    <w:p w:rsidR="00000000" w:rsidRPr="00A52043" w:rsidP="00A52043">
      <w:pPr>
        <w:pStyle w:val="ListBullet2"/>
      </w:pPr>
      <w:r w:rsidRPr="00A52043">
        <w:t>thawing</w:t>
      </w:r>
    </w:p>
    <w:p w:rsidR="00000000" w:rsidRPr="00A52043" w:rsidP="00A52043">
      <w:pPr>
        <w:pStyle w:val="ListBullet2"/>
      </w:pPr>
      <w:r w:rsidRPr="00A52043">
        <w:t>tra</w:t>
      </w:r>
      <w:r w:rsidRPr="00A52043">
        <w:t>nsferring</w:t>
      </w:r>
    </w:p>
    <w:p w:rsidR="00000000" w:rsidRPr="00A52043" w:rsidP="00A52043">
      <w:pPr>
        <w:pStyle w:val="ListBullet2"/>
      </w:pPr>
      <w:r w:rsidRPr="00A52043">
        <w:t>rethermalising</w:t>
      </w:r>
    </w:p>
    <w:p w:rsidR="00000000" w:rsidRPr="00A52043" w:rsidP="00A52043">
      <w:pPr>
        <w:pStyle w:val="ListBullet2"/>
      </w:pPr>
      <w:r w:rsidRPr="00A52043">
        <w:t>maintaining reheated food items</w:t>
      </w:r>
    </w:p>
    <w:p w:rsidR="00000000" w:rsidRPr="00A52043" w:rsidP="00A52043">
      <w:pPr>
        <w:pStyle w:val="ListBullet"/>
      </w:pPr>
      <w:r w:rsidRPr="00A52043">
        <w:t>quality indicators for rethermalised food items:</w:t>
      </w:r>
    </w:p>
    <w:p w:rsidR="00000000" w:rsidRPr="00A52043" w:rsidP="00A52043">
      <w:pPr>
        <w:pStyle w:val="ListBullet2"/>
      </w:pPr>
      <w:r w:rsidRPr="00A52043">
        <w:t>appearance</w:t>
      </w:r>
    </w:p>
    <w:p w:rsidR="00000000" w:rsidRPr="00A52043" w:rsidP="00A52043">
      <w:pPr>
        <w:pStyle w:val="ListBullet2"/>
      </w:pPr>
      <w:r w:rsidRPr="00A52043">
        <w:t>colour</w:t>
      </w:r>
    </w:p>
    <w:p w:rsidR="00000000" w:rsidRPr="00A52043" w:rsidP="00A52043">
      <w:pPr>
        <w:pStyle w:val="ListBullet2"/>
      </w:pPr>
      <w:r w:rsidRPr="00A52043">
        <w:t>consistency</w:t>
      </w:r>
    </w:p>
    <w:p w:rsidR="00000000" w:rsidRPr="00A52043" w:rsidP="00A52043">
      <w:pPr>
        <w:pStyle w:val="ListBullet2"/>
      </w:pPr>
      <w:r w:rsidRPr="00A52043">
        <w:t>moisture content</w:t>
      </w:r>
    </w:p>
    <w:p w:rsidR="00000000" w:rsidRPr="00A52043" w:rsidP="00A52043">
      <w:pPr>
        <w:pStyle w:val="ListBullet2"/>
      </w:pPr>
      <w:r w:rsidRPr="00A52043">
        <w:t>shape</w:t>
      </w:r>
    </w:p>
    <w:p w:rsidR="00000000" w:rsidRPr="00A52043" w:rsidP="00A52043">
      <w:pPr>
        <w:pStyle w:val="ListBullet2"/>
      </w:pPr>
      <w:r w:rsidRPr="00A52043">
        <w:t>size</w:t>
      </w:r>
    </w:p>
    <w:p w:rsidR="00000000" w:rsidRPr="00A52043" w:rsidP="00A52043">
      <w:pPr>
        <w:pStyle w:val="ListBullet2"/>
      </w:pPr>
      <w:r w:rsidRPr="00A52043">
        <w:t>taste</w:t>
      </w:r>
    </w:p>
    <w:p w:rsidR="00000000" w:rsidRPr="00A52043" w:rsidP="00A52043">
      <w:pPr>
        <w:pStyle w:val="ListBullet2"/>
      </w:pPr>
      <w:r w:rsidRPr="00A52043">
        <w:t>texture.</w:t>
      </w:r>
    </w:p>
    <w:p w:rsidR="00000000" w:rsidRPr="00A52043" w:rsidP="00A52043">
      <w:pPr>
        <w:pStyle w:val="AllowPageBreak"/>
      </w:pPr>
    </w:p>
    <w:p w:rsidR="00000000" w:rsidRPr="00A52043" w:rsidP="00A52043">
      <w:pPr>
        <w:pStyle w:val="Heading1"/>
      </w:pPr>
      <w:bookmarkStart w:id="4" w:name="O_821720"/>
      <w:bookmarkEnd w:id="4"/>
      <w:r w:rsidRPr="00A52043">
        <w:t>Assessment Conditions</w:t>
      </w:r>
    </w:p>
    <w:p w:rsidR="00000000" w:rsidRPr="00A52043" w:rsidP="00476C38">
      <w:pPr>
        <w:pStyle w:val="BodyText"/>
      </w:pPr>
      <w:r w:rsidRPr="00A52043">
        <w:t>Skills must have been demonstrated in a workplace or a simulated environment that reflects workplace conditions. The following conditions must be met for this unit:</w:t>
      </w:r>
    </w:p>
    <w:p w:rsidR="00000000" w:rsidRPr="00A52043" w:rsidP="00A52043">
      <w:pPr>
        <w:pStyle w:val="ListBullet"/>
      </w:pPr>
      <w:r w:rsidRPr="00A52043">
        <w:t>use of suitable facilities equipment and resources, including:</w:t>
      </w:r>
    </w:p>
    <w:p w:rsidR="00000000" w:rsidRPr="00A52043" w:rsidP="00A52043">
      <w:pPr>
        <w:pStyle w:val="ListBullet2"/>
      </w:pPr>
      <w:r w:rsidRPr="00A52043">
        <w:t>food service and food safe</w:t>
      </w:r>
      <w:r w:rsidRPr="00A52043">
        <w:t>ty program policies and procedures</w:t>
      </w:r>
    </w:p>
    <w:p w:rsidR="00000000" w:rsidRPr="00A52043" w:rsidP="00A52043">
      <w:pPr>
        <w:pStyle w:val="ListBullet2"/>
      </w:pPr>
      <w:r w:rsidRPr="00A52043">
        <w:t xml:space="preserve">food service facilities, equipment and utensils for handling, storing, freezing and reheating food </w:t>
      </w:r>
    </w:p>
    <w:p w:rsidR="00000000" w:rsidRPr="00A52043" w:rsidP="00A52043">
      <w:pPr>
        <w:pStyle w:val="ListBullet2"/>
      </w:pPr>
      <w:r w:rsidRPr="00A52043">
        <w:t>appropriate clothing and footwear</w:t>
      </w:r>
    </w:p>
    <w:p w:rsidR="00000000" w:rsidRPr="00A52043" w:rsidP="00A52043">
      <w:pPr>
        <w:pStyle w:val="ListBullet2"/>
      </w:pPr>
      <w:r w:rsidRPr="00A52043">
        <w:t>personal protective clothing and wound dressings</w:t>
      </w:r>
    </w:p>
    <w:p w:rsidR="00000000" w:rsidRPr="00A52043" w:rsidP="00A52043">
      <w:pPr>
        <w:pStyle w:val="ListBullet2"/>
      </w:pPr>
      <w:r w:rsidRPr="00A52043">
        <w:t>hand washing facilities and equipment</w:t>
      </w:r>
    </w:p>
    <w:p w:rsidR="00000000" w:rsidRPr="00A52043" w:rsidP="00A52043">
      <w:pPr>
        <w:pStyle w:val="ListBullet"/>
      </w:pPr>
      <w:r w:rsidRPr="00A52043">
        <w:t>modelling of industry operating conditions.</w:t>
      </w:r>
    </w:p>
    <w:p w:rsidR="00000000" w:rsidRPr="00A52043" w:rsidP="00476C38">
      <w:pPr>
        <w:pStyle w:val="BodyText"/>
      </w:pPr>
      <w:r w:rsidRPr="00A52043">
        <w:t>Assessors must satisfy the Standards for Registered Training Organisations (RTOs) 2015/AQTF mandatory competency requirements for assessors.</w:t>
      </w:r>
    </w:p>
    <w:p w:rsidR="00000000" w:rsidRPr="00A52043" w:rsidP="00A52043">
      <w:pPr>
        <w:pStyle w:val="Heading1"/>
      </w:pPr>
      <w:bookmarkStart w:id="5" w:name="O_821732"/>
      <w:bookmarkEnd w:id="5"/>
      <w:r w:rsidRPr="00A52043">
        <w:t>Links</w:t>
      </w:r>
    </w:p>
    <w:p w:rsidR="00000000" w:rsidRPr="00A52043" w:rsidP="00476C38">
      <w:pPr>
        <w:pStyle w:val="BodyText"/>
      </w:pPr>
      <w:r w:rsidRPr="00A52043">
        <w:t>Companion Volume implementation guides are foun</w:t>
      </w:r>
      <w:r w:rsidRPr="00A52043">
        <w:t xml:space="preserve">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47D6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52043" w:rsidP="00A52043"/>
    <w:sectPr w:rsidSect="00A520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43" w:rsidRPr="00476C38" w:rsidP="00476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38" w:rsidP="00A52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C38" w:rsidP="00A52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6C38" w:rsidP="00A52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043" w:rsidRPr="00476C38" w:rsidP="00476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38" w:rsidRPr="002D2AF8" w:rsidP="00A52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HLTFSE009 Apply cook-freeze and reheating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76C38" w:rsidP="00A52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4D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428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3A80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043"/>
  </w:style>
  <w:style w:type="character" w:customStyle="1" w:styleId="Heading1Char">
    <w:name w:val="Heading 1 Char"/>
    <w:basedOn w:val="DefaultParagraphFont"/>
    <w:link w:val="Heading1"/>
    <w:rsid w:val="00A52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0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0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043"/>
    <w:rPr>
      <w:b/>
      <w:spacing w:val="0"/>
    </w:rPr>
  </w:style>
  <w:style w:type="paragraph" w:styleId="ListBullet2">
    <w:name w:val="List Bullet 2"/>
    <w:basedOn w:val="List2"/>
    <w:rsid w:val="00A520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2043"/>
    <w:rPr>
      <w:i/>
    </w:rPr>
  </w:style>
  <w:style w:type="paragraph" w:customStyle="1" w:styleId="SuperHeading">
    <w:name w:val="SuperHeading"/>
    <w:basedOn w:val="Normal"/>
    <w:rsid w:val="00A52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0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0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0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2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043"/>
  </w:style>
  <w:style w:type="paragraph" w:styleId="TableofFigures">
    <w:name w:val="table of figures"/>
    <w:basedOn w:val="Normal"/>
    <w:next w:val="Normal"/>
    <w:semiHidden/>
    <w:rsid w:val="00A52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0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2043"/>
    <w:rPr>
      <w:rFonts w:ascii="Wingdings" w:hAnsi="Wingdings"/>
    </w:rPr>
  </w:style>
  <w:style w:type="paragraph" w:customStyle="1" w:styleId="TableHeading">
    <w:name w:val="Table Heading"/>
    <w:basedOn w:val="HeadingBase"/>
    <w:rsid w:val="00A52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043"/>
    <w:rPr>
      <w:color w:val="0033CC"/>
      <w:u w:val="none"/>
    </w:rPr>
  </w:style>
  <w:style w:type="paragraph" w:customStyle="1" w:styleId="BodyTextRight">
    <w:name w:val="Body Text Right"/>
    <w:basedOn w:val="BodyText"/>
    <w:rsid w:val="00A52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0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043"/>
    <w:rPr>
      <w:sz w:val="32"/>
    </w:rPr>
  </w:style>
  <w:style w:type="paragraph" w:customStyle="1" w:styleId="HeadingProcedure">
    <w:name w:val="Heading Procedure"/>
    <w:basedOn w:val="HeadingBase"/>
    <w:next w:val="Normal"/>
    <w:rsid w:val="00A52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043"/>
    <w:pPr>
      <w:spacing w:before="60" w:after="60"/>
    </w:pPr>
  </w:style>
  <w:style w:type="paragraph" w:styleId="ListContinue">
    <w:name w:val="List Continue"/>
    <w:basedOn w:val="List"/>
    <w:rsid w:val="00A52043"/>
    <w:pPr>
      <w:ind w:firstLine="0"/>
    </w:pPr>
  </w:style>
  <w:style w:type="paragraph" w:customStyle="1" w:styleId="ListNote">
    <w:name w:val="List Note"/>
    <w:basedOn w:val="List"/>
    <w:rsid w:val="00A52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043"/>
    <w:rPr>
      <w:rFonts w:ascii="Courier New" w:hAnsi="Courier New"/>
    </w:rPr>
  </w:style>
  <w:style w:type="paragraph" w:customStyle="1" w:styleId="NoteBullet">
    <w:name w:val="Note Bullet"/>
    <w:basedOn w:val="Note"/>
    <w:rsid w:val="00A52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0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043"/>
    <w:rPr>
      <w:b/>
      <w:smallCaps/>
    </w:rPr>
  </w:style>
  <w:style w:type="paragraph" w:customStyle="1" w:styleId="TableListNumber">
    <w:name w:val="Table List Number"/>
    <w:basedOn w:val="ListNumber"/>
    <w:rsid w:val="00A52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043"/>
    <w:pPr>
      <w:numPr>
        <w:numId w:val="9"/>
      </w:numPr>
    </w:pPr>
  </w:style>
  <w:style w:type="paragraph" w:customStyle="1" w:styleId="ListAlpha2">
    <w:name w:val="List Alpha 2"/>
    <w:basedOn w:val="List2"/>
    <w:rsid w:val="00A52043"/>
    <w:pPr>
      <w:numPr>
        <w:numId w:val="8"/>
      </w:numPr>
    </w:pPr>
  </w:style>
  <w:style w:type="paragraph" w:styleId="List2">
    <w:name w:val="List 2"/>
    <w:basedOn w:val="BodyText"/>
    <w:rsid w:val="00A52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0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0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2043"/>
    <w:pPr>
      <w:numPr>
        <w:numId w:val="4"/>
      </w:numPr>
    </w:pPr>
  </w:style>
  <w:style w:type="paragraph" w:styleId="ListContinue2">
    <w:name w:val="List Continue 2"/>
    <w:basedOn w:val="List2"/>
    <w:rsid w:val="00A52043"/>
    <w:pPr>
      <w:ind w:firstLine="0"/>
    </w:pPr>
  </w:style>
  <w:style w:type="paragraph" w:styleId="ListContinue3">
    <w:name w:val="List Continue 3"/>
    <w:basedOn w:val="List3"/>
    <w:rsid w:val="00A52043"/>
    <w:pPr>
      <w:ind w:left="1021" w:firstLine="0"/>
    </w:pPr>
  </w:style>
  <w:style w:type="paragraph" w:styleId="ListContinue4">
    <w:name w:val="List Continue 4"/>
    <w:basedOn w:val="List4"/>
    <w:rsid w:val="00A52043"/>
    <w:pPr>
      <w:ind w:firstLine="0"/>
    </w:pPr>
  </w:style>
  <w:style w:type="paragraph" w:styleId="ListContinue5">
    <w:name w:val="List Continue 5"/>
    <w:basedOn w:val="List5"/>
    <w:rsid w:val="00A52043"/>
    <w:pPr>
      <w:ind w:firstLine="0"/>
    </w:pPr>
  </w:style>
  <w:style w:type="paragraph" w:styleId="ListNumber3">
    <w:name w:val="List Number 3"/>
    <w:basedOn w:val="List3"/>
    <w:rsid w:val="00A52043"/>
    <w:pPr>
      <w:numPr>
        <w:numId w:val="5"/>
      </w:numPr>
    </w:pPr>
  </w:style>
  <w:style w:type="paragraph" w:styleId="ListNumber4">
    <w:name w:val="List Number 4"/>
    <w:basedOn w:val="List4"/>
    <w:rsid w:val="00A52043"/>
    <w:pPr>
      <w:numPr>
        <w:numId w:val="6"/>
      </w:numPr>
    </w:pPr>
  </w:style>
  <w:style w:type="paragraph" w:styleId="ListNumber5">
    <w:name w:val="List Number 5"/>
    <w:basedOn w:val="List5"/>
    <w:rsid w:val="00A52043"/>
    <w:pPr>
      <w:numPr>
        <w:numId w:val="7"/>
      </w:numPr>
    </w:pPr>
  </w:style>
  <w:style w:type="paragraph" w:styleId="BlockText">
    <w:name w:val="Block Text"/>
    <w:basedOn w:val="Normal"/>
    <w:rsid w:val="00A52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043"/>
    <w:rPr>
      <w:sz w:val="16"/>
      <w:vertAlign w:val="superscript"/>
    </w:rPr>
  </w:style>
  <w:style w:type="character" w:customStyle="1" w:styleId="Symbols">
    <w:name w:val="Symbols"/>
    <w:basedOn w:val="DefaultParagraphFont"/>
    <w:rsid w:val="00A52043"/>
    <w:rPr>
      <w:rFonts w:ascii="Symbol" w:hAnsi="Symbol"/>
    </w:rPr>
  </w:style>
  <w:style w:type="character" w:customStyle="1" w:styleId="MenuOptions">
    <w:name w:val="Menu Options"/>
    <w:basedOn w:val="DefaultParagraphFont"/>
    <w:rsid w:val="00A52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043"/>
    <w:rPr>
      <w:b/>
    </w:rPr>
  </w:style>
  <w:style w:type="character" w:customStyle="1" w:styleId="Underlined">
    <w:name w:val="Underlined"/>
    <w:basedOn w:val="DefaultParagraphFont"/>
    <w:rsid w:val="00A52043"/>
    <w:rPr>
      <w:u w:val="single"/>
    </w:rPr>
  </w:style>
  <w:style w:type="paragraph" w:customStyle="1" w:styleId="TableBodyTextRight">
    <w:name w:val="Table Body Text Right"/>
    <w:basedOn w:val="TableBodyText"/>
    <w:rsid w:val="00A52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043"/>
    <w:rPr>
      <w:sz w:val="18"/>
    </w:rPr>
  </w:style>
  <w:style w:type="paragraph" w:customStyle="1" w:styleId="BodySmallRight">
    <w:name w:val="Body Small Right"/>
    <w:basedOn w:val="BodyTextRight"/>
    <w:rsid w:val="00A52043"/>
    <w:rPr>
      <w:sz w:val="18"/>
      <w:szCs w:val="18"/>
    </w:rPr>
  </w:style>
  <w:style w:type="paragraph" w:customStyle="1" w:styleId="MarginEdition">
    <w:name w:val="Margin Edition"/>
    <w:basedOn w:val="MarginNote"/>
    <w:rsid w:val="00A52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043"/>
    <w:rPr>
      <w:sz w:val="2"/>
      <w:szCs w:val="2"/>
    </w:rPr>
  </w:style>
  <w:style w:type="character" w:customStyle="1" w:styleId="Small">
    <w:name w:val="Small"/>
    <w:basedOn w:val="DefaultParagraphFont"/>
    <w:rsid w:val="00A52043"/>
    <w:rPr>
      <w:sz w:val="16"/>
    </w:rPr>
  </w:style>
  <w:style w:type="paragraph" w:customStyle="1" w:styleId="WideTable">
    <w:name w:val="Wide Table"/>
    <w:basedOn w:val="Normal"/>
    <w:rsid w:val="00A52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043"/>
  </w:style>
  <w:style w:type="paragraph" w:styleId="Quote">
    <w:name w:val="Quote"/>
    <w:basedOn w:val="Heading1"/>
    <w:link w:val="QuoteChar"/>
    <w:qFormat/>
    <w:rsid w:val="00A52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043"/>
    <w:pPr>
      <w:pageBreakBefore/>
    </w:pPr>
  </w:style>
  <w:style w:type="paragraph" w:customStyle="1" w:styleId="Border">
    <w:name w:val="Border"/>
    <w:basedOn w:val="Normal"/>
    <w:qFormat/>
    <w:rsid w:val="00A52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043"/>
    <w:rPr>
      <w:u w:val="single"/>
    </w:rPr>
  </w:style>
  <w:style w:type="character" w:customStyle="1" w:styleId="BoldandItalics">
    <w:name w:val="Bold and Italics"/>
    <w:qFormat/>
    <w:rsid w:val="00A52043"/>
    <w:rPr>
      <w:b/>
      <w:i/>
      <w:u w:val="none"/>
    </w:rPr>
  </w:style>
  <w:style w:type="paragraph" w:styleId="BalloonText">
    <w:name w:val="Balloon Text"/>
    <w:basedOn w:val="Normal"/>
    <w:link w:val="BalloonTextChar"/>
    <w:rsid w:val="00A52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043"/>
    <w:pPr>
      <w:spacing w:before="0" w:after="0"/>
    </w:pPr>
  </w:style>
  <w:style w:type="paragraph" w:customStyle="1" w:styleId="BodyTextBold">
    <w:name w:val="Body Text Bold"/>
    <w:basedOn w:val="BodyText"/>
    <w:qFormat/>
    <w:rsid w:val="00A52043"/>
    <w:rPr>
      <w:b/>
    </w:rPr>
  </w:style>
  <w:style w:type="character" w:styleId="Hyperlink">
    <w:name w:val="Hyperlink"/>
    <w:basedOn w:val="DefaultParagraphFont"/>
    <w:uiPriority w:val="99"/>
    <w:unhideWhenUsed/>
    <w:rsid w:val="00476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3020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HLTFSE009 Apply cook-freeze and reheating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2023-07-01T03:57:00Z</dcterms:created>
  <dcterms:modified xsi:type="dcterms:W3CDTF">2023-07-01T03:57:00Z</dcterms:modified>
</cp:coreProperties>
</file>