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4AD" w:rsidP="008E24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HLTFSE006 Prepare foods suitable for a range of client groups</w:t>
      </w:r>
      <w:r>
        <w:fldChar w:fldCharType="end"/>
      </w:r>
    </w:p>
    <w:p w:rsidR="008E24AD" w:rsidP="008E24AD">
      <w:pPr>
        <w:pStyle w:val="Version"/>
        <w:sectPr w:rsidSect="004376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7623" w:rsidP="00437623">
      <w:pPr>
        <w:pStyle w:val="SuperHeading"/>
      </w:pPr>
      <w:r w:rsidRPr="00437623">
        <w:t>Assessment Requirements for HLTFSE006 Prepare foods suitable for a range of client groups</w:t>
      </w:r>
    </w:p>
    <w:p w:rsidR="00000000" w:rsidRPr="00437623" w:rsidP="00437623">
      <w:pPr>
        <w:pStyle w:val="Heading1"/>
      </w:pPr>
      <w:bookmarkStart w:id="1" w:name="O_822192"/>
      <w:bookmarkEnd w:id="1"/>
      <w:r w:rsidRPr="004376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37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623" w:rsidP="00437623">
            <w:pPr>
              <w:pStyle w:val="BodyText"/>
            </w:pPr>
            <w:r w:rsidRPr="0043762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623">
            <w:pPr>
              <w:pStyle w:val="BodyText"/>
              <w:rPr>
                <w:lang w:val="en-NZ"/>
              </w:rPr>
            </w:pPr>
            <w:r w:rsidRPr="00437623">
              <w:rPr>
                <w:rStyle w:val="SpecialBold"/>
              </w:rPr>
              <w:t>Comments</w:t>
            </w:r>
          </w:p>
        </w:tc>
      </w:tr>
      <w:tr w:rsidTr="00437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623">
            <w:pPr>
              <w:pStyle w:val="BodyText"/>
              <w:rPr>
                <w:lang w:val="en-NZ"/>
              </w:rPr>
            </w:pPr>
            <w:r w:rsidRPr="0043762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623" w:rsidP="00437623">
            <w:pPr>
              <w:pStyle w:val="BodyText"/>
            </w:pPr>
            <w:r w:rsidRPr="00437623">
              <w:t xml:space="preserve">This version was released in </w:t>
            </w:r>
            <w:r w:rsidRPr="00437623">
              <w:rPr>
                <w:rStyle w:val="Emphasis"/>
              </w:rPr>
              <w:t>HLT Health Training Package release 3.0</w:t>
            </w:r>
            <w:r w:rsidRPr="00437623">
              <w:t xml:space="preserve"> and meets the requirements of the 2012 Standards for Training Packages.</w:t>
            </w:r>
          </w:p>
          <w:p w:rsidR="00000000" w:rsidRPr="00437623" w:rsidP="00437623">
            <w:pPr>
              <w:pStyle w:val="BodyText"/>
            </w:pPr>
          </w:p>
          <w:p w:rsidR="00000000" w:rsidRPr="00437623" w:rsidP="00437623">
            <w:pPr>
              <w:pStyle w:val="BodyText"/>
            </w:pPr>
            <w:r w:rsidRPr="00437623">
              <w:t>Significant changes to the elements and performance criteria. New evidence requirements for assessment, including volume and frequency requirements. Significant change to knowledge e</w:t>
            </w:r>
            <w:r w:rsidRPr="00437623">
              <w:t>vidence. Removed prerequisite.</w:t>
            </w:r>
          </w:p>
          <w:p w:rsidR="00000000" w:rsidRPr="00437623" w:rsidP="00437623">
            <w:pPr>
              <w:pStyle w:val="BodyText"/>
            </w:pPr>
          </w:p>
          <w:p w:rsidR="00000000" w:rsidRPr="00437623" w:rsidP="00437623">
            <w:pPr>
              <w:pStyle w:val="BodyText"/>
            </w:pPr>
            <w:r w:rsidRPr="00437623">
              <w:t>Supersedes HLTFS302D</w:t>
            </w:r>
          </w:p>
        </w:tc>
      </w:tr>
    </w:tbl>
    <w:p w:rsidR="00000000" w:rsidRPr="00437623" w:rsidP="00437623">
      <w:pPr>
        <w:pStyle w:val="BodyText"/>
      </w:pPr>
    </w:p>
    <w:p w:rsidR="00000000" w:rsidRPr="00437623" w:rsidP="00437623">
      <w:pPr>
        <w:pStyle w:val="AllowPageBreak"/>
      </w:pPr>
    </w:p>
    <w:p w:rsidR="00000000" w:rsidRPr="00437623" w:rsidP="00437623">
      <w:pPr>
        <w:pStyle w:val="Heading1"/>
      </w:pPr>
      <w:bookmarkStart w:id="2" w:name="O_822193"/>
      <w:bookmarkEnd w:id="2"/>
      <w:r w:rsidRPr="00437623">
        <w:t>Performance Evidence</w:t>
      </w:r>
    </w:p>
    <w:p w:rsidR="00000000" w:rsidRPr="00437623" w:rsidP="008E24AD">
      <w:pPr>
        <w:pStyle w:val="BodyText"/>
      </w:pPr>
      <w:r w:rsidRPr="00437623">
        <w:t>The candidate must show evidence of the ability to complete tasks outlined in the elements and performance criteria of this unit, manage tasks and manage contingen</w:t>
      </w:r>
      <w:r w:rsidRPr="00437623">
        <w:t>cies in the context of the job role. There must be evidence that the candidate has:</w:t>
      </w:r>
    </w:p>
    <w:p w:rsidR="00000000" w:rsidRPr="00437623" w:rsidP="00437623">
      <w:pPr>
        <w:pStyle w:val="ListBullet"/>
      </w:pPr>
      <w:r w:rsidRPr="00437623">
        <w:t>selected appropriate recipes and prepared a different main meal suitable for each of the following clients:</w:t>
      </w:r>
    </w:p>
    <w:p w:rsidR="00000000" w:rsidRPr="00437623" w:rsidP="00437623">
      <w:pPr>
        <w:pStyle w:val="ListBullet2"/>
      </w:pPr>
      <w:r w:rsidRPr="00437623">
        <w:t>client with a specific cultural requirement</w:t>
      </w:r>
    </w:p>
    <w:p w:rsidR="00000000" w:rsidRPr="00437623" w:rsidP="00437623">
      <w:pPr>
        <w:pStyle w:val="ListBullet2"/>
      </w:pPr>
      <w:r w:rsidRPr="00437623">
        <w:t>client with a</w:t>
      </w:r>
      <w:r w:rsidRPr="00437623">
        <w:t>n allergy</w:t>
      </w:r>
    </w:p>
    <w:p w:rsidR="00000000" w:rsidRPr="00437623" w:rsidP="00437623">
      <w:pPr>
        <w:pStyle w:val="ListBullet2"/>
      </w:pPr>
      <w:r w:rsidRPr="00437623">
        <w:t>client with restricted diet due to drug-food interactions</w:t>
      </w:r>
    </w:p>
    <w:p w:rsidR="00000000" w:rsidRPr="00437623" w:rsidP="00437623">
      <w:pPr>
        <w:pStyle w:val="ListBullet2"/>
      </w:pPr>
      <w:r w:rsidRPr="00437623">
        <w:t>client with swallowing issues requiring food texture modification.</w:t>
      </w:r>
    </w:p>
    <w:p w:rsidR="00000000" w:rsidRPr="00437623" w:rsidP="00437623">
      <w:pPr>
        <w:pStyle w:val="AllowPageBreak"/>
      </w:pPr>
    </w:p>
    <w:p w:rsidR="00000000" w:rsidRPr="00437623" w:rsidP="00437623">
      <w:pPr>
        <w:pStyle w:val="Heading1"/>
      </w:pPr>
      <w:bookmarkStart w:id="3" w:name="O_822194"/>
      <w:bookmarkEnd w:id="3"/>
      <w:r w:rsidRPr="00437623">
        <w:t>Knowledge Evidence</w:t>
      </w:r>
    </w:p>
    <w:p w:rsidR="00000000" w:rsidRPr="00437623" w:rsidP="008E24AD">
      <w:pPr>
        <w:pStyle w:val="BodyText"/>
      </w:pPr>
      <w:r w:rsidRPr="00437623">
        <w:t>The candidate must be able to demonstrate essential knowledge required to effectively</w:t>
      </w:r>
      <w:r w:rsidRPr="00437623">
        <w:t xml:space="preserve"> complete tasks outlined in the elements and performance criteria of this unit, manage tasks and manage contingencies in the context of the work role. This includes knowledge of:</w:t>
      </w:r>
    </w:p>
    <w:p w:rsidR="00000000" w:rsidRPr="00437623" w:rsidP="00437623">
      <w:pPr>
        <w:pStyle w:val="ListBullet"/>
      </w:pPr>
      <w:r w:rsidRPr="00437623">
        <w:t>food safety principles and regulations</w:t>
      </w:r>
    </w:p>
    <w:p w:rsidR="00000000" w:rsidRPr="00437623" w:rsidP="00437623">
      <w:pPr>
        <w:pStyle w:val="ListBullet"/>
      </w:pPr>
      <w:r w:rsidRPr="00437623">
        <w:t>food safety hazards and risks</w:t>
      </w:r>
    </w:p>
    <w:p w:rsidR="00000000" w:rsidRPr="00437623" w:rsidP="00437623">
      <w:pPr>
        <w:pStyle w:val="ListBullet"/>
      </w:pPr>
      <w:r w:rsidRPr="00437623">
        <w:t>food sa</w:t>
      </w:r>
      <w:r w:rsidRPr="00437623">
        <w:t>fety program requirements</w:t>
      </w:r>
    </w:p>
    <w:p w:rsidR="00000000" w:rsidRPr="00437623" w:rsidP="00437623">
      <w:pPr>
        <w:pStyle w:val="ListBullet"/>
      </w:pPr>
      <w:r w:rsidRPr="00437623">
        <w:t xml:space="preserve">basic cookery methods, including the principles of bulk cooking </w:t>
      </w:r>
    </w:p>
    <w:p w:rsidR="00000000" w:rsidRPr="00437623" w:rsidP="00437623">
      <w:pPr>
        <w:pStyle w:val="ListBullet"/>
      </w:pPr>
      <w:r w:rsidRPr="00437623">
        <w:t>client conditions and associated needs and requirements</w:t>
      </w:r>
    </w:p>
    <w:p w:rsidR="00000000" w:rsidRPr="00437623" w:rsidP="00437623">
      <w:pPr>
        <w:pStyle w:val="ListBullet"/>
      </w:pPr>
      <w:r w:rsidRPr="00437623">
        <w:t>specific dietary requirements, including:</w:t>
      </w:r>
    </w:p>
    <w:p w:rsidR="00000000" w:rsidRPr="00437623" w:rsidP="00437623">
      <w:pPr>
        <w:pStyle w:val="ListBullet2"/>
      </w:pPr>
      <w:r w:rsidRPr="00437623">
        <w:t>coeliac</w:t>
      </w:r>
    </w:p>
    <w:p w:rsidR="00000000" w:rsidRPr="00437623" w:rsidP="00437623">
      <w:pPr>
        <w:pStyle w:val="ListBullet2"/>
      </w:pPr>
      <w:r w:rsidRPr="00437623">
        <w:t>diabetes</w:t>
      </w:r>
    </w:p>
    <w:p w:rsidR="00000000" w:rsidRPr="00437623" w:rsidP="00437623">
      <w:pPr>
        <w:pStyle w:val="ListBullet2"/>
      </w:pPr>
      <w:r w:rsidRPr="00437623">
        <w:t>food allergies</w:t>
      </w:r>
    </w:p>
    <w:p w:rsidR="00000000" w:rsidRPr="00437623" w:rsidP="00437623">
      <w:pPr>
        <w:pStyle w:val="ListBullet2"/>
      </w:pPr>
      <w:r w:rsidRPr="00437623">
        <w:t>food intolerances</w:t>
      </w:r>
    </w:p>
    <w:p w:rsidR="00000000" w:rsidRPr="00437623" w:rsidP="00437623">
      <w:pPr>
        <w:pStyle w:val="ListBullet2"/>
      </w:pPr>
      <w:r w:rsidRPr="00437623">
        <w:t>swallowing problems requiring food texture modification</w:t>
      </w:r>
    </w:p>
    <w:p w:rsidR="00000000" w:rsidRPr="00437623" w:rsidP="00437623">
      <w:pPr>
        <w:pStyle w:val="ListBullet2"/>
      </w:pPr>
      <w:r w:rsidRPr="00437623">
        <w:t>malnutrition</w:t>
      </w:r>
    </w:p>
    <w:p w:rsidR="00000000" w:rsidRPr="00437623" w:rsidP="00437623">
      <w:pPr>
        <w:pStyle w:val="ListBullet"/>
      </w:pPr>
      <w:r w:rsidRPr="00437623">
        <w:t>current Australian Standards for texture modified food and fluids</w:t>
      </w:r>
    </w:p>
    <w:p w:rsidR="00000000" w:rsidRPr="00437623" w:rsidP="00437623">
      <w:pPr>
        <w:pStyle w:val="ListBullet"/>
      </w:pPr>
      <w:r w:rsidRPr="00437623">
        <w:t>food and fluid texture modification techniques</w:t>
      </w:r>
    </w:p>
    <w:p w:rsidR="00000000" w:rsidRPr="00437623" w:rsidP="00437623">
      <w:pPr>
        <w:pStyle w:val="ListBullet"/>
      </w:pPr>
      <w:r w:rsidRPr="00437623">
        <w:t>different cultural requirements relevant to client group and individuals,</w:t>
      </w:r>
      <w:r w:rsidRPr="00437623">
        <w:t xml:space="preserve"> including:</w:t>
      </w:r>
    </w:p>
    <w:p w:rsidR="00000000" w:rsidRPr="00437623" w:rsidP="00437623">
      <w:pPr>
        <w:pStyle w:val="ListBullet2"/>
      </w:pPr>
      <w:r w:rsidRPr="00437623">
        <w:t>halal</w:t>
      </w:r>
    </w:p>
    <w:p w:rsidR="00000000" w:rsidRPr="00437623" w:rsidP="00437623">
      <w:pPr>
        <w:pStyle w:val="ListBullet2"/>
      </w:pPr>
      <w:r w:rsidRPr="00437623">
        <w:t>Hindu</w:t>
      </w:r>
    </w:p>
    <w:p w:rsidR="00000000" w:rsidRPr="00437623" w:rsidP="00437623">
      <w:pPr>
        <w:pStyle w:val="ListBullet2"/>
      </w:pPr>
      <w:r w:rsidRPr="00437623">
        <w:t>kosher</w:t>
      </w:r>
    </w:p>
    <w:p w:rsidR="00000000" w:rsidRPr="00437623" w:rsidP="00437623">
      <w:pPr>
        <w:pStyle w:val="ListBullet2"/>
      </w:pPr>
      <w:r w:rsidRPr="00437623">
        <w:t>vegetarian</w:t>
      </w:r>
    </w:p>
    <w:p w:rsidR="00000000" w:rsidRPr="00437623" w:rsidP="00437623">
      <w:pPr>
        <w:pStyle w:val="ListBullet2"/>
      </w:pPr>
      <w:r w:rsidRPr="00437623">
        <w:t>vegan</w:t>
      </w:r>
    </w:p>
    <w:p w:rsidR="00000000" w:rsidRPr="00437623" w:rsidP="00437623">
      <w:pPr>
        <w:pStyle w:val="ListBullet"/>
      </w:pPr>
      <w:r w:rsidRPr="00437623">
        <w:t xml:space="preserve">foods that promote good health and principles of nutrition, including food selection and cookery methods that comply with the current </w:t>
      </w:r>
      <w:r w:rsidRPr="00437623">
        <w:rPr>
          <w:rStyle w:val="Emphasis"/>
        </w:rPr>
        <w:t>Dietary Guidelines for Australians</w:t>
      </w:r>
      <w:r w:rsidRPr="00437623">
        <w:t xml:space="preserve"> for the general population, including</w:t>
      </w:r>
      <w:r w:rsidRPr="00437623">
        <w:t xml:space="preserve"> adults, children and adolescents </w:t>
      </w:r>
    </w:p>
    <w:p w:rsidR="00000000" w:rsidRPr="00437623" w:rsidP="00437623">
      <w:pPr>
        <w:pStyle w:val="ListBullet"/>
      </w:pPr>
      <w:r w:rsidRPr="00437623">
        <w:t>additional dietary guidelines for specific populations, including older people and unwell people</w:t>
      </w:r>
    </w:p>
    <w:p w:rsidR="00000000" w:rsidRPr="00437623" w:rsidP="00437623">
      <w:pPr>
        <w:pStyle w:val="ListBullet"/>
      </w:pPr>
      <w:r w:rsidRPr="00437623">
        <w:t>key health and legal consequences of failing to address special requirements:</w:t>
      </w:r>
    </w:p>
    <w:p w:rsidR="00000000" w:rsidRPr="00437623" w:rsidP="00437623">
      <w:pPr>
        <w:pStyle w:val="ListBullet2"/>
      </w:pPr>
      <w:r w:rsidRPr="00437623">
        <w:t>drug-food interactions</w:t>
      </w:r>
    </w:p>
    <w:p w:rsidR="00000000" w:rsidRPr="00437623" w:rsidP="00437623">
      <w:pPr>
        <w:pStyle w:val="ListBullet2"/>
      </w:pPr>
      <w:r w:rsidRPr="00437623">
        <w:t>allergic reactions</w:t>
      </w:r>
    </w:p>
    <w:p w:rsidR="00000000" w:rsidRPr="00437623" w:rsidP="00437623">
      <w:pPr>
        <w:pStyle w:val="ListBullet2"/>
      </w:pPr>
      <w:r w:rsidRPr="00437623">
        <w:t>anaphylaxis</w:t>
      </w:r>
    </w:p>
    <w:p w:rsidR="00000000" w:rsidRPr="00437623" w:rsidP="00437623">
      <w:pPr>
        <w:pStyle w:val="ListBullet2"/>
      </w:pPr>
      <w:r w:rsidRPr="00437623">
        <w:t>food sensitivity or intolerance reactions</w:t>
      </w:r>
    </w:p>
    <w:p w:rsidR="00000000" w:rsidRPr="00437623" w:rsidP="00437623">
      <w:pPr>
        <w:pStyle w:val="ListBullet2"/>
      </w:pPr>
      <w:r w:rsidRPr="00437623">
        <w:t>choking.</w:t>
      </w:r>
    </w:p>
    <w:p w:rsidR="00000000" w:rsidRPr="00437623" w:rsidP="00437623">
      <w:pPr>
        <w:pStyle w:val="AllowPageBreak"/>
      </w:pPr>
    </w:p>
    <w:p w:rsidR="00000000" w:rsidRPr="00437623" w:rsidP="00437623">
      <w:pPr>
        <w:pStyle w:val="Heading1"/>
      </w:pPr>
      <w:bookmarkStart w:id="4" w:name="O_822195"/>
      <w:bookmarkEnd w:id="4"/>
      <w:r w:rsidRPr="00437623">
        <w:t>Assessment Conditions</w:t>
      </w:r>
    </w:p>
    <w:p w:rsidR="00000000" w:rsidRPr="00437623" w:rsidP="008E24AD">
      <w:pPr>
        <w:pStyle w:val="BodyText"/>
      </w:pPr>
      <w:r w:rsidRPr="00437623">
        <w:t xml:space="preserve">Skills must have been demonstrated in a workplace or a simulated environment that reflects workplace conditions. The following conditions must be met for </w:t>
      </w:r>
      <w:r w:rsidRPr="00437623">
        <w:t>this unit:</w:t>
      </w:r>
    </w:p>
    <w:p w:rsidR="00000000" w:rsidRPr="00437623" w:rsidP="00437623">
      <w:pPr>
        <w:pStyle w:val="ListBullet"/>
      </w:pPr>
      <w:r w:rsidRPr="00437623">
        <w:t>use of suitable facilities equipment and resources, including:</w:t>
      </w:r>
    </w:p>
    <w:p w:rsidR="00000000" w:rsidRPr="00437623" w:rsidP="00437623">
      <w:pPr>
        <w:pStyle w:val="ListBullet2"/>
      </w:pPr>
      <w:r w:rsidRPr="00437623">
        <w:t>food service and food safety program policies and procedures</w:t>
      </w:r>
    </w:p>
    <w:p w:rsidR="00000000" w:rsidRPr="00437623" w:rsidP="00437623">
      <w:pPr>
        <w:pStyle w:val="ListBullet2"/>
      </w:pPr>
      <w:r w:rsidRPr="00437623">
        <w:t>food service facilities, equipment and utensils for handling, preparing, storing, heating, transporting and disposing o</w:t>
      </w:r>
      <w:r w:rsidRPr="00437623">
        <w:t>f food and beverages</w:t>
      </w:r>
    </w:p>
    <w:p w:rsidR="00000000" w:rsidRPr="00437623" w:rsidP="00437623">
      <w:pPr>
        <w:pStyle w:val="ListBullet2"/>
      </w:pPr>
      <w:r w:rsidRPr="00437623">
        <w:t>menus, recipes and associated ingredients</w:t>
      </w:r>
    </w:p>
    <w:p w:rsidR="00000000" w:rsidRPr="00437623" w:rsidP="00437623">
      <w:pPr>
        <w:pStyle w:val="ListBullet2"/>
      </w:pPr>
      <w:r w:rsidRPr="00437623">
        <w:t>appropriate clothing and footwear</w:t>
      </w:r>
    </w:p>
    <w:p w:rsidR="00000000" w:rsidRPr="00437623" w:rsidP="00437623">
      <w:pPr>
        <w:pStyle w:val="ListBullet2"/>
      </w:pPr>
      <w:r w:rsidRPr="00437623">
        <w:t>personal protective clothing and wound dressings</w:t>
      </w:r>
    </w:p>
    <w:p w:rsidR="00000000" w:rsidRPr="00437623" w:rsidP="00437623">
      <w:pPr>
        <w:pStyle w:val="ListBullet2"/>
      </w:pPr>
      <w:r w:rsidRPr="00437623">
        <w:t>food and beverages</w:t>
      </w:r>
    </w:p>
    <w:p w:rsidR="00000000" w:rsidRPr="00437623" w:rsidP="00437623">
      <w:pPr>
        <w:pStyle w:val="ListBullet2"/>
      </w:pPr>
      <w:r w:rsidRPr="00437623">
        <w:t>cleaning equipment</w:t>
      </w:r>
    </w:p>
    <w:p w:rsidR="00000000" w:rsidRPr="00437623" w:rsidP="00437623">
      <w:pPr>
        <w:pStyle w:val="ListBullet2"/>
      </w:pPr>
      <w:r w:rsidRPr="00437623">
        <w:t>hand washing facilities and equipment</w:t>
      </w:r>
    </w:p>
    <w:p w:rsidR="00000000" w:rsidRPr="00437623" w:rsidP="00437623">
      <w:pPr>
        <w:pStyle w:val="ListBullet2"/>
      </w:pPr>
      <w:r w:rsidRPr="00437623">
        <w:t>manufactures’</w:t>
      </w:r>
      <w:r w:rsidRPr="00437623">
        <w:t xml:space="preserve"> manuals for kitchen equipment</w:t>
      </w:r>
    </w:p>
    <w:p w:rsidR="00000000" w:rsidRPr="00437623" w:rsidP="00437623">
      <w:pPr>
        <w:pStyle w:val="ListBullet2"/>
      </w:pPr>
      <w:r w:rsidRPr="00437623">
        <w:t>food packaging and storage requirements</w:t>
      </w:r>
    </w:p>
    <w:p w:rsidR="00000000" w:rsidRPr="00437623" w:rsidP="00437623">
      <w:pPr>
        <w:pStyle w:val="ListBullet"/>
      </w:pPr>
      <w:r w:rsidRPr="00437623">
        <w:t>modelling of industry operating conditions.</w:t>
      </w:r>
    </w:p>
    <w:p w:rsidR="00000000" w:rsidRPr="00437623" w:rsidP="00437623">
      <w:pPr>
        <w:pStyle w:val="BodyText"/>
      </w:pPr>
    </w:p>
    <w:p w:rsidR="00000000" w:rsidRPr="00437623" w:rsidP="008E24AD">
      <w:pPr>
        <w:pStyle w:val="BodyText"/>
      </w:pPr>
      <w:r w:rsidRPr="00437623">
        <w:t>Assessors must satisfy the Standards for Registered Training Organisations (RTOs) 2015/AQTF mandatory competency requirements for assessors</w:t>
      </w:r>
      <w:r w:rsidRPr="00437623">
        <w:t>.</w:t>
      </w:r>
    </w:p>
    <w:p w:rsidR="00000000" w:rsidRPr="00437623" w:rsidP="00437623">
      <w:pPr>
        <w:pStyle w:val="Heading1"/>
      </w:pPr>
      <w:bookmarkStart w:id="5" w:name="O_822198"/>
      <w:bookmarkEnd w:id="5"/>
      <w:r w:rsidRPr="00437623">
        <w:t>Links</w:t>
      </w:r>
    </w:p>
    <w:p w:rsidR="00000000" w:rsidRPr="00437623" w:rsidP="008E24AD">
      <w:pPr>
        <w:pStyle w:val="BodyText"/>
      </w:pPr>
      <w:r w:rsidRPr="004376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F273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37623" w:rsidP="00437623"/>
    <w:sectPr w:rsidSect="004376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6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623" w:rsidRPr="008E24AD" w:rsidP="008E24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6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4AD" w:rsidP="004376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24AD" w:rsidP="004376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E24AD" w:rsidP="004376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6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4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623" w:rsidRPr="008E24AD" w:rsidP="008E24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6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4AD" w:rsidRPr="002D2AF8" w:rsidP="004376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HLTFSE006 Prepare foods suitable for a range of client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E24AD" w:rsidP="004376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B08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CA4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8805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6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6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6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6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6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6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6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6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6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6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623"/>
  </w:style>
  <w:style w:type="character" w:customStyle="1" w:styleId="Heading1Char">
    <w:name w:val="Heading 1 Char"/>
    <w:basedOn w:val="DefaultParagraphFont"/>
    <w:link w:val="Heading1"/>
    <w:rsid w:val="004376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6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6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76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7623"/>
    <w:rPr>
      <w:b/>
      <w:spacing w:val="0"/>
    </w:rPr>
  </w:style>
  <w:style w:type="paragraph" w:styleId="ListBullet2">
    <w:name w:val="List Bullet 2"/>
    <w:basedOn w:val="List2"/>
    <w:rsid w:val="004376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7623"/>
    <w:rPr>
      <w:i/>
    </w:rPr>
  </w:style>
  <w:style w:type="paragraph" w:customStyle="1" w:styleId="SuperHeading">
    <w:name w:val="SuperHeading"/>
    <w:basedOn w:val="Normal"/>
    <w:rsid w:val="004376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6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76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6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6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6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6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6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6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6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6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6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6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6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6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6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76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76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76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6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6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76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6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6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6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6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6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6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6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6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76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6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6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623"/>
  </w:style>
  <w:style w:type="paragraph" w:styleId="TableofFigures">
    <w:name w:val="table of figures"/>
    <w:basedOn w:val="Normal"/>
    <w:next w:val="Normal"/>
    <w:semiHidden/>
    <w:rsid w:val="004376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6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7623"/>
    <w:rPr>
      <w:rFonts w:ascii="Wingdings" w:hAnsi="Wingdings"/>
    </w:rPr>
  </w:style>
  <w:style w:type="paragraph" w:customStyle="1" w:styleId="TableHeading">
    <w:name w:val="Table Heading"/>
    <w:basedOn w:val="HeadingBase"/>
    <w:rsid w:val="004376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623"/>
    <w:rPr>
      <w:color w:val="0033CC"/>
      <w:u w:val="none"/>
    </w:rPr>
  </w:style>
  <w:style w:type="paragraph" w:customStyle="1" w:styleId="BodyTextRight">
    <w:name w:val="Body Text Right"/>
    <w:basedOn w:val="BodyText"/>
    <w:rsid w:val="004376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6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6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6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6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6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623"/>
    <w:rPr>
      <w:sz w:val="32"/>
    </w:rPr>
  </w:style>
  <w:style w:type="paragraph" w:customStyle="1" w:styleId="HeadingProcedure">
    <w:name w:val="Heading Procedure"/>
    <w:basedOn w:val="HeadingBase"/>
    <w:next w:val="Normal"/>
    <w:rsid w:val="004376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623"/>
    <w:pPr>
      <w:spacing w:before="60" w:after="60"/>
    </w:pPr>
  </w:style>
  <w:style w:type="paragraph" w:styleId="ListContinue">
    <w:name w:val="List Continue"/>
    <w:basedOn w:val="List"/>
    <w:rsid w:val="00437623"/>
    <w:pPr>
      <w:ind w:firstLine="0"/>
    </w:pPr>
  </w:style>
  <w:style w:type="paragraph" w:customStyle="1" w:styleId="ListNote">
    <w:name w:val="List Note"/>
    <w:basedOn w:val="List"/>
    <w:rsid w:val="004376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6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6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623"/>
    <w:rPr>
      <w:rFonts w:ascii="Courier New" w:hAnsi="Courier New"/>
    </w:rPr>
  </w:style>
  <w:style w:type="paragraph" w:customStyle="1" w:styleId="NoteBullet">
    <w:name w:val="Note Bullet"/>
    <w:basedOn w:val="Note"/>
    <w:rsid w:val="004376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6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6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6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6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76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6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623"/>
    <w:rPr>
      <w:b/>
      <w:smallCaps/>
    </w:rPr>
  </w:style>
  <w:style w:type="paragraph" w:customStyle="1" w:styleId="TableListNumber">
    <w:name w:val="Table List Number"/>
    <w:basedOn w:val="ListNumber"/>
    <w:rsid w:val="004376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6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623"/>
    <w:pPr>
      <w:numPr>
        <w:numId w:val="9"/>
      </w:numPr>
    </w:pPr>
  </w:style>
  <w:style w:type="paragraph" w:customStyle="1" w:styleId="ListAlpha2">
    <w:name w:val="List Alpha 2"/>
    <w:basedOn w:val="List2"/>
    <w:rsid w:val="00437623"/>
    <w:pPr>
      <w:numPr>
        <w:numId w:val="8"/>
      </w:numPr>
    </w:pPr>
  </w:style>
  <w:style w:type="paragraph" w:styleId="List2">
    <w:name w:val="List 2"/>
    <w:basedOn w:val="BodyText"/>
    <w:rsid w:val="004376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6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6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6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6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6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7623"/>
    <w:pPr>
      <w:numPr>
        <w:numId w:val="4"/>
      </w:numPr>
    </w:pPr>
  </w:style>
  <w:style w:type="paragraph" w:styleId="ListContinue2">
    <w:name w:val="List Continue 2"/>
    <w:basedOn w:val="List2"/>
    <w:rsid w:val="00437623"/>
    <w:pPr>
      <w:ind w:firstLine="0"/>
    </w:pPr>
  </w:style>
  <w:style w:type="paragraph" w:styleId="ListContinue3">
    <w:name w:val="List Continue 3"/>
    <w:basedOn w:val="List3"/>
    <w:rsid w:val="00437623"/>
    <w:pPr>
      <w:ind w:left="1021" w:firstLine="0"/>
    </w:pPr>
  </w:style>
  <w:style w:type="paragraph" w:styleId="ListContinue4">
    <w:name w:val="List Continue 4"/>
    <w:basedOn w:val="List4"/>
    <w:rsid w:val="00437623"/>
    <w:pPr>
      <w:ind w:firstLine="0"/>
    </w:pPr>
  </w:style>
  <w:style w:type="paragraph" w:styleId="ListContinue5">
    <w:name w:val="List Continue 5"/>
    <w:basedOn w:val="List5"/>
    <w:rsid w:val="00437623"/>
    <w:pPr>
      <w:ind w:firstLine="0"/>
    </w:pPr>
  </w:style>
  <w:style w:type="paragraph" w:styleId="ListNumber3">
    <w:name w:val="List Number 3"/>
    <w:basedOn w:val="List3"/>
    <w:rsid w:val="00437623"/>
    <w:pPr>
      <w:numPr>
        <w:numId w:val="5"/>
      </w:numPr>
    </w:pPr>
  </w:style>
  <w:style w:type="paragraph" w:styleId="ListNumber4">
    <w:name w:val="List Number 4"/>
    <w:basedOn w:val="List4"/>
    <w:rsid w:val="00437623"/>
    <w:pPr>
      <w:numPr>
        <w:numId w:val="6"/>
      </w:numPr>
    </w:pPr>
  </w:style>
  <w:style w:type="paragraph" w:styleId="ListNumber5">
    <w:name w:val="List Number 5"/>
    <w:basedOn w:val="List5"/>
    <w:rsid w:val="00437623"/>
    <w:pPr>
      <w:numPr>
        <w:numId w:val="7"/>
      </w:numPr>
    </w:pPr>
  </w:style>
  <w:style w:type="paragraph" w:styleId="BlockText">
    <w:name w:val="Block Text"/>
    <w:basedOn w:val="Normal"/>
    <w:rsid w:val="004376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6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623"/>
    <w:rPr>
      <w:sz w:val="16"/>
      <w:vertAlign w:val="superscript"/>
    </w:rPr>
  </w:style>
  <w:style w:type="character" w:customStyle="1" w:styleId="Symbols">
    <w:name w:val="Symbols"/>
    <w:basedOn w:val="DefaultParagraphFont"/>
    <w:rsid w:val="00437623"/>
    <w:rPr>
      <w:rFonts w:ascii="Symbol" w:hAnsi="Symbol"/>
    </w:rPr>
  </w:style>
  <w:style w:type="character" w:customStyle="1" w:styleId="MenuOptions">
    <w:name w:val="Menu Options"/>
    <w:basedOn w:val="DefaultParagraphFont"/>
    <w:rsid w:val="004376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623"/>
    <w:rPr>
      <w:b/>
    </w:rPr>
  </w:style>
  <w:style w:type="character" w:customStyle="1" w:styleId="Underlined">
    <w:name w:val="Underlined"/>
    <w:basedOn w:val="DefaultParagraphFont"/>
    <w:rsid w:val="00437623"/>
    <w:rPr>
      <w:u w:val="single"/>
    </w:rPr>
  </w:style>
  <w:style w:type="paragraph" w:customStyle="1" w:styleId="TableBodyTextRight">
    <w:name w:val="Table Body Text Right"/>
    <w:basedOn w:val="TableBodyText"/>
    <w:rsid w:val="004376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623"/>
    <w:rPr>
      <w:sz w:val="18"/>
    </w:rPr>
  </w:style>
  <w:style w:type="paragraph" w:customStyle="1" w:styleId="BodySmallRight">
    <w:name w:val="Body Small Right"/>
    <w:basedOn w:val="BodyTextRight"/>
    <w:rsid w:val="00437623"/>
    <w:rPr>
      <w:sz w:val="18"/>
      <w:szCs w:val="18"/>
    </w:rPr>
  </w:style>
  <w:style w:type="paragraph" w:customStyle="1" w:styleId="MarginEdition">
    <w:name w:val="Margin Edition"/>
    <w:basedOn w:val="MarginNote"/>
    <w:rsid w:val="004376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623"/>
    <w:rPr>
      <w:sz w:val="2"/>
      <w:szCs w:val="2"/>
    </w:rPr>
  </w:style>
  <w:style w:type="character" w:customStyle="1" w:styleId="Small">
    <w:name w:val="Small"/>
    <w:basedOn w:val="DefaultParagraphFont"/>
    <w:rsid w:val="00437623"/>
    <w:rPr>
      <w:sz w:val="16"/>
    </w:rPr>
  </w:style>
  <w:style w:type="paragraph" w:customStyle="1" w:styleId="WideTable">
    <w:name w:val="Wide Table"/>
    <w:basedOn w:val="Normal"/>
    <w:rsid w:val="004376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623"/>
  </w:style>
  <w:style w:type="paragraph" w:styleId="Quote">
    <w:name w:val="Quote"/>
    <w:basedOn w:val="Heading1"/>
    <w:link w:val="QuoteChar"/>
    <w:qFormat/>
    <w:rsid w:val="004376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6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623"/>
    <w:pPr>
      <w:pageBreakBefore/>
    </w:pPr>
  </w:style>
  <w:style w:type="paragraph" w:customStyle="1" w:styleId="Border">
    <w:name w:val="Border"/>
    <w:basedOn w:val="Normal"/>
    <w:qFormat/>
    <w:rsid w:val="004376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6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6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6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6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6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6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6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6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623"/>
    <w:rPr>
      <w:u w:val="single"/>
    </w:rPr>
  </w:style>
  <w:style w:type="character" w:customStyle="1" w:styleId="BoldandItalics">
    <w:name w:val="Bold and Italics"/>
    <w:qFormat/>
    <w:rsid w:val="00437623"/>
    <w:rPr>
      <w:b/>
      <w:i/>
      <w:u w:val="none"/>
    </w:rPr>
  </w:style>
  <w:style w:type="paragraph" w:styleId="BalloonText">
    <w:name w:val="Balloon Text"/>
    <w:basedOn w:val="Normal"/>
    <w:link w:val="BalloonTextChar"/>
    <w:rsid w:val="004376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6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6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6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6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6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623"/>
    <w:pPr>
      <w:spacing w:before="0" w:after="0"/>
    </w:pPr>
  </w:style>
  <w:style w:type="paragraph" w:customStyle="1" w:styleId="BodyTextBold">
    <w:name w:val="Body Text Bold"/>
    <w:basedOn w:val="BodyText"/>
    <w:qFormat/>
    <w:rsid w:val="00437623"/>
    <w:rPr>
      <w:b/>
    </w:rPr>
  </w:style>
  <w:style w:type="character" w:styleId="Hyperlink">
    <w:name w:val="Hyperlink"/>
    <w:basedOn w:val="DefaultParagraphFont"/>
    <w:uiPriority w:val="99"/>
    <w:unhideWhenUsed/>
    <w:rsid w:val="008E24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3357</Characters>
  <Application>Microsoft Office Word</Application>
  <DocSecurity>0</DocSecurity>
  <Lines>98</Lines>
  <Paragraphs>75</Paragraphs>
  <ScaleCrop>false</ScaleCrop>
  <Company>Author-it Software Corporation Ltd.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HLTFSE006 Prepare foods suitable for a range of client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2023-07-02T01:02:00Z</dcterms:created>
  <dcterms:modified xsi:type="dcterms:W3CDTF">2023-07-02T01:02:00Z</dcterms:modified>
</cp:coreProperties>
</file>