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4E8" w:rsidP="00A964E8">
      <w:pPr>
        <w:pStyle w:val="Title"/>
      </w:pPr>
      <w:r>
        <w:fldChar w:fldCharType="begin"/>
      </w:r>
      <w:r>
        <w:instrText xml:space="preserve"> TITLE   \* MERGEFORMAT </w:instrText>
      </w:r>
      <w:r>
        <w:fldChar w:fldCharType="separate"/>
      </w:r>
      <w:r>
        <w:t>HLTENN054 Contribute to the registration eligibility and assessment of donors</w:t>
      </w:r>
      <w:r>
        <w:fldChar w:fldCharType="end"/>
      </w:r>
    </w:p>
    <w:p w:rsidR="00A964E8" w:rsidP="00A964E8">
      <w:pPr>
        <w:pStyle w:val="Version"/>
        <w:sectPr w:rsidSect="00EF1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46C" w:rsidP="00EF146C">
      <w:pPr>
        <w:pStyle w:val="SuperHeading"/>
      </w:pPr>
      <w:r w:rsidRPr="00EF146C">
        <w:t>HLTENN054 Contribute to the registration eligibility and assessment of donors</w:t>
      </w:r>
    </w:p>
    <w:p w:rsidR="00000000" w:rsidRPr="00EF146C" w:rsidP="00EF146C">
      <w:pPr>
        <w:pStyle w:val="Heading1"/>
      </w:pPr>
      <w:bookmarkStart w:id="1" w:name="O_1200634"/>
      <w:bookmarkEnd w:id="1"/>
      <w:r w:rsidRPr="00EF146C">
        <w:t>Modification History</w:t>
      </w:r>
    </w:p>
    <w:tbl>
      <w:tblPr>
        <w:tblW w:w="0" w:type="auto"/>
        <w:tblLayout w:type="fixed"/>
        <w:tblCellMar>
          <w:left w:w="62" w:type="dxa"/>
          <w:right w:w="62" w:type="dxa"/>
        </w:tblCellMar>
        <w:tblLook w:val="0000"/>
      </w:tblPr>
      <w:tblGrid>
        <w:gridCol w:w="3040"/>
        <w:gridCol w:w="6074"/>
      </w:tblGrid>
      <w:tr w:rsidTr="00EF146C">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F146C" w:rsidP="00EF146C">
            <w:pPr>
              <w:pStyle w:val="BodyText"/>
            </w:pPr>
            <w:r w:rsidRPr="00EF146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F146C">
            <w:pPr>
              <w:pStyle w:val="BodyText"/>
              <w:rPr>
                <w:lang w:val="en-NZ"/>
              </w:rPr>
            </w:pPr>
            <w:r w:rsidRPr="00EF146C">
              <w:rPr>
                <w:rStyle w:val="SpecialBold"/>
              </w:rPr>
              <w:t>Comments</w:t>
            </w:r>
          </w:p>
        </w:tc>
      </w:tr>
      <w:tr w:rsidTr="00EF146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146C">
            <w:pPr>
              <w:pStyle w:val="BodyText"/>
              <w:rPr>
                <w:lang w:val="en-NZ"/>
              </w:rPr>
            </w:pPr>
            <w:r w:rsidRPr="00EF146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F146C" w:rsidP="00EF146C">
            <w:pPr>
              <w:pStyle w:val="BodyText"/>
            </w:pPr>
            <w:r w:rsidRPr="00EF146C">
              <w:t>Release 2 HLTENN054 Contribute to the registration eligibility and assessment of donors supersedes and is equivalent to Release 1 HLTENN054 Contribute to the registration eligibility and assessment of donors.</w:t>
            </w:r>
          </w:p>
          <w:p w:rsidR="00000000" w:rsidRPr="00EF146C" w:rsidP="00EF146C">
            <w:pPr>
              <w:pStyle w:val="BodyText"/>
            </w:pPr>
            <w:r w:rsidRPr="00EF146C">
              <w:t>Updated:</w:t>
            </w:r>
          </w:p>
          <w:p w:rsidR="00000000" w:rsidP="00EF146C">
            <w:pPr>
              <w:pStyle w:val="BodyText"/>
              <w:rPr>
                <w:lang w:val="en-NZ"/>
              </w:rPr>
            </w:pPr>
            <w:r w:rsidRPr="00EF146C">
              <w:t>Mapping details and minor corrections.</w:t>
            </w:r>
          </w:p>
        </w:tc>
      </w:tr>
      <w:tr w:rsidTr="00EF146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146C">
            <w:pPr>
              <w:pStyle w:val="BodyText"/>
              <w:rPr>
                <w:lang w:val="en-NZ"/>
              </w:rPr>
            </w:pPr>
            <w:r w:rsidRPr="00EF146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F146C" w:rsidP="00EF146C">
            <w:pPr>
              <w:pStyle w:val="BodyText"/>
            </w:pPr>
            <w:r w:rsidRPr="00EF146C">
              <w:t>HLTENN054 Contribute to the registration eligibility and assessment of donors supersedes and is equivalent to HLTENN022 Contribute to the registration eligibility and assessment of donors.</w:t>
            </w:r>
          </w:p>
        </w:tc>
      </w:tr>
    </w:tbl>
    <w:p w:rsidR="00000000" w:rsidRPr="00EF146C" w:rsidP="00EF146C">
      <w:pPr>
        <w:pStyle w:val="BodyText"/>
      </w:pPr>
    </w:p>
    <w:p w:rsidR="00000000" w:rsidRPr="00EF146C" w:rsidP="00EF146C">
      <w:pPr>
        <w:pStyle w:val="AllowPageBreak"/>
      </w:pPr>
    </w:p>
    <w:p w:rsidR="00000000" w:rsidRPr="00EF146C" w:rsidP="00EF146C">
      <w:pPr>
        <w:pStyle w:val="Heading1"/>
      </w:pPr>
      <w:bookmarkStart w:id="2" w:name="O_1200633"/>
      <w:bookmarkEnd w:id="2"/>
      <w:r w:rsidRPr="00EF146C">
        <w:t>Application</w:t>
      </w:r>
    </w:p>
    <w:p w:rsidR="00000000" w:rsidRPr="00EF146C" w:rsidP="00A964E8">
      <w:pPr>
        <w:pStyle w:val="BodyText"/>
      </w:pPr>
      <w:r w:rsidRPr="00EF146C">
        <w:t>This unit describes the performance outcomes, skills and knowledge required to register and assess blood donors for whole blood, red cells, platelets, plasma and other blood components donated as whole blood or through the process of apheresis. It does not</w:t>
      </w:r>
      <w:r w:rsidRPr="00EF146C">
        <w:t xml:space="preserve"> include haemoglobin testing.</w:t>
      </w:r>
    </w:p>
    <w:p w:rsidR="00000000" w:rsidRPr="00EF146C" w:rsidP="00A964E8">
      <w:pPr>
        <w:pStyle w:val="BodyText"/>
      </w:pPr>
      <w:r w:rsidRPr="00EF146C">
        <w:t>This unit applies to enrolled nurses, registered with the Nursing and Midwifery Board of Australia (NMBA), seeking specialisation in enrolled nurse work that is carried out in consultation and collaboration with registered nur</w:t>
      </w:r>
      <w:r w:rsidRPr="00EF146C">
        <w:t>ses, and under direct or indirect supervisory arrangements aligned to the NMBA regulatory authority legislative requirements.</w:t>
      </w:r>
    </w:p>
    <w:p w:rsidR="00000000" w:rsidRPr="00EF146C" w:rsidP="00A964E8">
      <w:pPr>
        <w:pStyle w:val="BodyText"/>
      </w:pPr>
      <w:r w:rsidRPr="00EF146C">
        <w:t xml:space="preserve">The skills in this unit must be applied in accordance with Commonwealth and State/Territory legislation, Australian Standards and </w:t>
      </w:r>
      <w:r w:rsidRPr="00EF146C">
        <w:t>industry codes of practice.</w:t>
      </w:r>
    </w:p>
    <w:p w:rsidR="00000000" w:rsidRPr="00EF146C" w:rsidP="00A964E8">
      <w:pPr>
        <w:pStyle w:val="BodyText"/>
      </w:pPr>
      <w:r w:rsidRPr="00EF146C">
        <w:t>No occupational licensing, certification or specific legislative requirements apply to this unit at the time of publication.</w:t>
      </w:r>
    </w:p>
    <w:p w:rsidR="00000000" w:rsidRPr="00EF146C" w:rsidP="00EF146C">
      <w:pPr>
        <w:pStyle w:val="Heading1"/>
      </w:pPr>
      <w:bookmarkStart w:id="3" w:name="O_1200632"/>
      <w:bookmarkEnd w:id="3"/>
      <w:r w:rsidRPr="00EF146C">
        <w:t>Pre-requisite Unit</w:t>
      </w:r>
    </w:p>
    <w:p w:rsidR="00000000" w:rsidRPr="00EF146C" w:rsidP="00A964E8">
      <w:pPr>
        <w:pStyle w:val="BodyText"/>
      </w:pPr>
      <w:r w:rsidRPr="00EF146C">
        <w:t xml:space="preserve">Nil </w:t>
      </w:r>
    </w:p>
    <w:p w:rsidR="00000000" w:rsidRPr="00EF146C" w:rsidP="00EF146C">
      <w:pPr>
        <w:pStyle w:val="Heading1"/>
      </w:pPr>
      <w:bookmarkStart w:id="4" w:name="O_1200631"/>
      <w:bookmarkEnd w:id="4"/>
      <w:r w:rsidRPr="00EF146C">
        <w:t>Competency Field</w:t>
      </w:r>
    </w:p>
    <w:p w:rsidR="00000000" w:rsidRPr="00EF146C" w:rsidP="00A964E8">
      <w:pPr>
        <w:pStyle w:val="BodyText"/>
      </w:pPr>
      <w:r w:rsidRPr="00EF146C">
        <w:t>Enrolled Nursing</w:t>
      </w:r>
    </w:p>
    <w:p w:rsidR="00000000" w:rsidRPr="00EF146C" w:rsidP="00EF146C">
      <w:pPr>
        <w:pStyle w:val="Heading1"/>
      </w:pPr>
      <w:bookmarkStart w:id="5" w:name="O_1200630"/>
      <w:bookmarkEnd w:id="5"/>
      <w:r w:rsidRPr="00EF146C">
        <w:t>Unit Sector</w:t>
      </w:r>
    </w:p>
    <w:p w:rsidR="00000000" w:rsidRPr="00EF146C" w:rsidP="00A964E8">
      <w:pPr>
        <w:pStyle w:val="BodyText"/>
      </w:pPr>
      <w:r w:rsidRPr="00EF146C">
        <w:t>Enrolled Nursing</w:t>
      </w:r>
    </w:p>
    <w:p w:rsidR="00000000" w:rsidRPr="00EF146C" w:rsidP="00EF146C">
      <w:pPr>
        <w:pStyle w:val="Heading1"/>
      </w:pPr>
      <w:bookmarkStart w:id="6" w:name="O_1200629"/>
      <w:bookmarkEnd w:id="6"/>
      <w:r w:rsidRPr="00EF146C">
        <w:t>Elements and Performance Criteria</w:t>
      </w:r>
    </w:p>
    <w:tbl>
      <w:tblPr>
        <w:tblW w:w="0" w:type="auto"/>
        <w:tblLayout w:type="fixed"/>
        <w:tblCellMar>
          <w:left w:w="62" w:type="dxa"/>
          <w:right w:w="62" w:type="dxa"/>
        </w:tblCellMar>
        <w:tblLook w:val="0000"/>
      </w:tblPr>
      <w:tblGrid>
        <w:gridCol w:w="2694"/>
        <w:gridCol w:w="6350"/>
      </w:tblGrid>
      <w:tr w:rsidTr="00EF14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F146C" w:rsidP="00EF146C">
            <w:pPr>
              <w:pStyle w:val="BodyText"/>
            </w:pPr>
            <w:r w:rsidRPr="00EF146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F146C">
            <w:pPr>
              <w:pStyle w:val="BodyText"/>
              <w:rPr>
                <w:lang w:val="en-NZ"/>
              </w:rPr>
            </w:pPr>
            <w:r w:rsidRPr="00EF146C">
              <w:rPr>
                <w:rStyle w:val="SpecialBold"/>
              </w:rPr>
              <w:t>PERFORMANCE</w:t>
            </w:r>
            <w:r w:rsidRPr="00EF146C">
              <w:t xml:space="preserve"> </w:t>
            </w:r>
            <w:r w:rsidRPr="00EF146C">
              <w:rPr>
                <w:rStyle w:val="SpecialBold"/>
              </w:rPr>
              <w:t>CRITERIA</w:t>
            </w:r>
          </w:p>
        </w:tc>
      </w:tr>
      <w:tr w:rsidTr="00EF146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F146C" w:rsidP="00EF146C">
            <w:pPr>
              <w:pStyle w:val="BodyText"/>
            </w:pPr>
            <w:r w:rsidRPr="00EF146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F146C">
            <w:pPr>
              <w:pStyle w:val="BodyText"/>
              <w:rPr>
                <w:lang w:val="en-NZ"/>
              </w:rPr>
            </w:pPr>
            <w:r w:rsidRPr="00EF146C">
              <w:rPr>
                <w:rStyle w:val="Emphasis"/>
              </w:rPr>
              <w:t>Performance criteria describe the performance needed to demonstrate achievement of the element.</w:t>
            </w:r>
          </w:p>
        </w:tc>
      </w:tr>
      <w:tr w:rsidTr="00EF146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F146C">
            <w:pPr>
              <w:pStyle w:val="List"/>
              <w:rPr>
                <w:lang w:val="en-NZ"/>
              </w:rPr>
            </w:pPr>
            <w:r w:rsidRPr="00EF146C">
              <w:t>1.  Register a donor giving blood and blood components.</w:t>
            </w:r>
          </w:p>
        </w:tc>
        <w:tc>
          <w:tcPr>
            <w:tcW w:w="6350" w:type="dxa"/>
            <w:tcBorders>
              <w:top w:val="nil"/>
              <w:left w:val="nil"/>
              <w:bottom w:val="nil"/>
              <w:right w:val="nil"/>
            </w:tcBorders>
            <w:tcMar>
              <w:top w:w="0" w:type="dxa"/>
              <w:left w:w="62" w:type="dxa"/>
              <w:bottom w:w="0" w:type="dxa"/>
              <w:right w:w="62" w:type="dxa"/>
            </w:tcMar>
          </w:tcPr>
          <w:p w:rsidR="00000000" w:rsidRPr="00EF146C" w:rsidP="00EF146C">
            <w:pPr>
              <w:pStyle w:val="List"/>
            </w:pPr>
            <w:r w:rsidRPr="00EF146C">
              <w:t>1.1. Identify new, lapsed and regular donors and use documentation according to information gained.</w:t>
            </w:r>
          </w:p>
          <w:p w:rsidR="00000000" w:rsidRPr="00EF146C" w:rsidP="00EF146C">
            <w:pPr>
              <w:pStyle w:val="List"/>
            </w:pPr>
            <w:r w:rsidRPr="00EF146C">
              <w:t>1.2</w:t>
            </w:r>
            <w:r w:rsidRPr="00EF146C">
              <w:t>. Use eligibility assessment tools to elicit informative responses.</w:t>
            </w:r>
          </w:p>
          <w:p w:rsidR="00000000" w:rsidRPr="00EF146C" w:rsidP="00EF146C">
            <w:pPr>
              <w:pStyle w:val="List"/>
            </w:pPr>
            <w:r w:rsidRPr="00EF146C">
              <w:t>1.3. Check donor records against responses, identify and record discrepancies, inconsistencies, omissions and ambiguities, and report to designated personnel.</w:t>
            </w:r>
          </w:p>
          <w:p w:rsidR="00000000" w:rsidRPr="00EF146C" w:rsidP="00EF146C">
            <w:pPr>
              <w:pStyle w:val="List"/>
            </w:pPr>
            <w:r w:rsidRPr="00EF146C">
              <w:t>1.4. Respond to donor’s quest</w:t>
            </w:r>
            <w:r w:rsidRPr="00EF146C">
              <w:t>ions and, before seeking their consent, seek feedback from donor to confirm understanding of nature and purpose of procedures.</w:t>
            </w:r>
          </w:p>
          <w:p w:rsidR="00000000" w:rsidRPr="00EF146C" w:rsidP="00EF146C">
            <w:pPr>
              <w:pStyle w:val="List"/>
            </w:pPr>
            <w:r w:rsidRPr="00EF146C">
              <w:t>1.5. Record donor information, donor decision and signed consent in donor record.</w:t>
            </w:r>
          </w:p>
          <w:p w:rsidR="00000000" w:rsidRPr="00EF146C" w:rsidP="00EF146C">
            <w:pPr>
              <w:pStyle w:val="List"/>
            </w:pPr>
            <w:r w:rsidRPr="00EF146C">
              <w:t>1.6. Refer information in line with organisatio</w:t>
            </w:r>
            <w:r w:rsidRPr="00EF146C">
              <w:t>nal policies and procedures, where donor information indicates unsuitability to donate.</w:t>
            </w:r>
          </w:p>
          <w:p w:rsidR="00000000" w:rsidP="00EF146C">
            <w:pPr>
              <w:pStyle w:val="List"/>
              <w:rPr>
                <w:lang w:val="en-NZ"/>
              </w:rPr>
            </w:pPr>
            <w:r w:rsidRPr="00EF146C">
              <w:t>1.7. Protect confidentiality of the donor.</w:t>
            </w:r>
          </w:p>
        </w:tc>
      </w:tr>
      <w:tr w:rsidTr="00EF146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F146C">
            <w:pPr>
              <w:pStyle w:val="List"/>
              <w:rPr>
                <w:lang w:val="en-NZ"/>
              </w:rPr>
            </w:pPr>
            <w:r w:rsidRPr="00EF146C">
              <w:t>2.  Assess suitability for blood and blood component donation.</w:t>
            </w:r>
          </w:p>
        </w:tc>
        <w:tc>
          <w:tcPr>
            <w:tcW w:w="6350" w:type="dxa"/>
            <w:tcBorders>
              <w:top w:val="nil"/>
              <w:left w:val="nil"/>
              <w:bottom w:val="nil"/>
              <w:right w:val="nil"/>
            </w:tcBorders>
            <w:tcMar>
              <w:top w:w="0" w:type="dxa"/>
              <w:left w:w="62" w:type="dxa"/>
              <w:bottom w:w="0" w:type="dxa"/>
              <w:right w:w="62" w:type="dxa"/>
            </w:tcMar>
          </w:tcPr>
          <w:p w:rsidR="00000000" w:rsidRPr="00EF146C" w:rsidP="00EF146C">
            <w:pPr>
              <w:pStyle w:val="List"/>
            </w:pPr>
            <w:r w:rsidRPr="00EF146C">
              <w:t>2.1. Check donor against selection criteria requirements for blood and blood component donations.</w:t>
            </w:r>
          </w:p>
          <w:p w:rsidR="00000000" w:rsidRPr="00EF146C" w:rsidP="00EF146C">
            <w:pPr>
              <w:pStyle w:val="List"/>
            </w:pPr>
            <w:r w:rsidRPr="00EF146C">
              <w:t>2.2. Provide information about the nature and sequence of session activities suitable to donor’s needs and concerns.</w:t>
            </w:r>
          </w:p>
          <w:p w:rsidR="00000000" w:rsidRPr="00EF146C" w:rsidP="00EF146C">
            <w:pPr>
              <w:pStyle w:val="List"/>
            </w:pPr>
            <w:r w:rsidRPr="00EF146C">
              <w:t>2.3. Provide feedback regarding eligibili</w:t>
            </w:r>
            <w:r w:rsidRPr="00EF146C">
              <w:t>ty to donate.</w:t>
            </w:r>
          </w:p>
          <w:p w:rsidR="00000000" w:rsidRPr="00EF146C" w:rsidP="00EF146C">
            <w:pPr>
              <w:pStyle w:val="List"/>
            </w:pPr>
            <w:r w:rsidRPr="00EF146C">
              <w:t>2.4. Evaluate haematological results to identify variation from normal health status and refer to registered nurse.</w:t>
            </w:r>
          </w:p>
          <w:p w:rsidR="00000000" w:rsidP="00EF146C">
            <w:pPr>
              <w:pStyle w:val="List"/>
              <w:rPr>
                <w:lang w:val="en-NZ"/>
              </w:rPr>
            </w:pPr>
            <w:r w:rsidRPr="00EF146C">
              <w:t>2.5. Determine accessibility of ante-cubital veins in both arms and refer to registered nurse where not easily accessible.</w:t>
            </w:r>
          </w:p>
        </w:tc>
      </w:tr>
      <w:tr w:rsidTr="00EF146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F146C">
            <w:pPr>
              <w:pStyle w:val="List"/>
              <w:rPr>
                <w:lang w:val="en-NZ"/>
              </w:rPr>
            </w:pPr>
            <w:r w:rsidRPr="00EF146C">
              <w:t>3.</w:t>
            </w:r>
            <w:r w:rsidRPr="00EF146C">
              <w:t xml:space="preserve">  Observe behaviour before and after donation and report physical irregularities.</w:t>
            </w:r>
          </w:p>
        </w:tc>
        <w:tc>
          <w:tcPr>
            <w:tcW w:w="6350" w:type="dxa"/>
            <w:tcBorders>
              <w:top w:val="nil"/>
              <w:left w:val="nil"/>
              <w:bottom w:val="nil"/>
              <w:right w:val="nil"/>
            </w:tcBorders>
            <w:tcMar>
              <w:top w:w="0" w:type="dxa"/>
              <w:left w:w="62" w:type="dxa"/>
              <w:bottom w:w="0" w:type="dxa"/>
              <w:right w:w="62" w:type="dxa"/>
            </w:tcMar>
          </w:tcPr>
          <w:p w:rsidR="00000000" w:rsidRPr="00EF146C" w:rsidP="00EF146C">
            <w:pPr>
              <w:pStyle w:val="List"/>
            </w:pPr>
            <w:r w:rsidRPr="00EF146C">
              <w:t>3.1. Observe donor behaviour for physical irregularities to identify situations including anxiety and fainting.</w:t>
            </w:r>
          </w:p>
          <w:p w:rsidR="00000000" w:rsidRPr="00EF146C" w:rsidP="00EF146C">
            <w:pPr>
              <w:pStyle w:val="List"/>
            </w:pPr>
            <w:r w:rsidRPr="00EF146C">
              <w:t>3.2. Alert supervising registered nurse and take action in lin</w:t>
            </w:r>
            <w:r w:rsidRPr="00EF146C">
              <w:t xml:space="preserve">e with organisational policies and procedures to ensure donor </w:t>
            </w:r>
            <w:r w:rsidRPr="00EF146C">
              <w:t>safety.</w:t>
            </w:r>
          </w:p>
          <w:p w:rsidR="00000000" w:rsidRPr="00EF146C" w:rsidP="00EF146C">
            <w:pPr>
              <w:pStyle w:val="List"/>
            </w:pPr>
            <w:r w:rsidRPr="00EF146C">
              <w:t>3.3. Document and report incident in line with organisational policies and procedures.</w:t>
            </w:r>
          </w:p>
        </w:tc>
      </w:tr>
    </w:tbl>
    <w:p w:rsidR="00000000" w:rsidRPr="00EF146C" w:rsidP="00EF146C">
      <w:pPr>
        <w:pStyle w:val="BodyText"/>
      </w:pPr>
    </w:p>
    <w:p w:rsidR="00000000" w:rsidRPr="00EF146C" w:rsidP="00EF146C">
      <w:pPr>
        <w:pStyle w:val="AllowPageBreak"/>
      </w:pPr>
    </w:p>
    <w:p w:rsidR="00000000" w:rsidRPr="00EF146C" w:rsidP="00EF146C">
      <w:pPr>
        <w:pStyle w:val="Heading1"/>
      </w:pPr>
      <w:bookmarkStart w:id="7" w:name="O_1200628"/>
      <w:bookmarkEnd w:id="7"/>
      <w:r w:rsidRPr="00EF146C">
        <w:t>Foundation Skills</w:t>
      </w:r>
    </w:p>
    <w:p w:rsidR="00000000" w:rsidRPr="00EF146C" w:rsidP="00A964E8">
      <w:pPr>
        <w:pStyle w:val="BodyText"/>
      </w:pPr>
      <w:r w:rsidRPr="00EF146C">
        <w:t>Foundation skills essential to performance are explicit in the performance criteria of this unit of competency.</w:t>
      </w:r>
    </w:p>
    <w:p w:rsidR="00000000" w:rsidRPr="00EF146C" w:rsidP="00EF146C">
      <w:pPr>
        <w:pStyle w:val="Heading1"/>
      </w:pPr>
      <w:bookmarkStart w:id="8" w:name="O_1200627"/>
      <w:bookmarkEnd w:id="8"/>
      <w:r w:rsidRPr="00EF146C">
        <w:t>Unit Mapping Information</w:t>
      </w:r>
    </w:p>
    <w:p w:rsidR="00000000" w:rsidRPr="00EF146C" w:rsidP="00A964E8">
      <w:pPr>
        <w:pStyle w:val="BodyText"/>
      </w:pPr>
      <w:r w:rsidRPr="00EF146C">
        <w:t>HLTENN054 Contribute to the registration eligibility and assessment of donors supersedes and is equi</w:t>
      </w:r>
      <w:r w:rsidRPr="00EF146C">
        <w:t>valent to HLTENN022 Contribute to the registration eligibility and assessment of donors.</w:t>
      </w:r>
    </w:p>
    <w:p w:rsidR="00000000" w:rsidRPr="00EF146C" w:rsidP="00EF146C">
      <w:pPr>
        <w:pStyle w:val="Heading1"/>
      </w:pPr>
      <w:bookmarkStart w:id="9" w:name="O_1200635"/>
      <w:bookmarkEnd w:id="9"/>
      <w:r w:rsidRPr="00EF146C">
        <w:t>Links</w:t>
      </w:r>
    </w:p>
    <w:p w:rsidR="00000000" w:rsidRPr="00EF146C" w:rsidP="00A964E8">
      <w:pPr>
        <w:pStyle w:val="BodyText"/>
      </w:pPr>
      <w:r w:rsidRPr="00EF146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517A">
        <w:rPr>
          <w:rStyle w:val="Hyperlink"/>
        </w:rPr>
        <w:t>https://vetnet.gov.au/Pages/TrainingDocs.aspx?q=ced1390f-48d9-4ab0-bd50-b015e5485705</w:t>
      </w:r>
      <w:r>
        <w:fldChar w:fldCharType="end"/>
      </w:r>
    </w:p>
    <w:p w:rsidR="00000000" w:rsidRPr="00EF146C" w:rsidP="00A964E8">
      <w:pPr>
        <w:pStyle w:val="BodyText"/>
        <w:sectPr w:rsidSect="00EF146C">
          <w:headerReference w:type="default" r:id="rId10"/>
          <w:footerReference w:type="default" r:id="rId11"/>
          <w:pgSz w:w="11908" w:h="16833"/>
          <w:pgMar w:top="1702" w:right="1418" w:bottom="1702" w:left="1418" w:header="992" w:footer="992" w:gutter="0"/>
          <w:cols w:space="720"/>
          <w:noEndnote/>
          <w:docGrid w:linePitch="299"/>
        </w:sectPr>
      </w:pPr>
    </w:p>
    <w:p w:rsidR="00000000" w:rsidRPr="00EF146C" w:rsidP="00EF146C">
      <w:pPr>
        <w:pStyle w:val="SuperHeading"/>
      </w:pPr>
      <w:r w:rsidRPr="00EF146C">
        <w:t>Assessment Requirements for HLTENN054 Contribute to the registration eligibility and assessment of donors</w:t>
      </w:r>
    </w:p>
    <w:p w:rsidR="00000000" w:rsidRPr="00EF146C" w:rsidP="00EF146C">
      <w:pPr>
        <w:pStyle w:val="Heading1"/>
      </w:pPr>
      <w:bookmarkStart w:id="10" w:name="O_1200625"/>
      <w:bookmarkEnd w:id="10"/>
      <w:r w:rsidRPr="00EF146C">
        <w:t>Modification History</w:t>
      </w:r>
    </w:p>
    <w:tbl>
      <w:tblPr>
        <w:tblW w:w="0" w:type="auto"/>
        <w:tblLayout w:type="fixed"/>
        <w:tblCellMar>
          <w:left w:w="62" w:type="dxa"/>
          <w:right w:w="62" w:type="dxa"/>
        </w:tblCellMar>
        <w:tblLook w:val="0000"/>
      </w:tblPr>
      <w:tblGrid>
        <w:gridCol w:w="3040"/>
        <w:gridCol w:w="6074"/>
      </w:tblGrid>
      <w:tr w:rsidTr="00EF146C">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F146C" w:rsidP="00EF146C">
            <w:pPr>
              <w:pStyle w:val="BodyText"/>
            </w:pPr>
            <w:r w:rsidRPr="00EF146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F146C">
            <w:pPr>
              <w:pStyle w:val="BodyText"/>
              <w:rPr>
                <w:lang w:val="en-NZ"/>
              </w:rPr>
            </w:pPr>
            <w:r w:rsidRPr="00EF146C">
              <w:rPr>
                <w:rStyle w:val="SpecialBold"/>
              </w:rPr>
              <w:t>Comments</w:t>
            </w:r>
          </w:p>
        </w:tc>
      </w:tr>
      <w:tr w:rsidTr="00EF146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146C">
            <w:pPr>
              <w:pStyle w:val="BodyText"/>
              <w:rPr>
                <w:lang w:val="en-NZ"/>
              </w:rPr>
            </w:pPr>
            <w:r w:rsidRPr="00EF146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F146C" w:rsidP="00EF146C">
            <w:pPr>
              <w:pStyle w:val="BodyText"/>
            </w:pPr>
            <w:r w:rsidRPr="00EF146C">
              <w:t>Release 2 HLTENN054 Contribute to the registration eligibility and assessment of donors supersedes and is equivalent to Release 1 HLTENN054 Contribute to the registration eligibility and assessment of donors.</w:t>
            </w:r>
          </w:p>
          <w:p w:rsidR="00000000" w:rsidRPr="00EF146C" w:rsidP="00EF146C">
            <w:pPr>
              <w:pStyle w:val="BodyText"/>
            </w:pPr>
            <w:r w:rsidRPr="00EF146C">
              <w:t>Updated:</w:t>
            </w:r>
          </w:p>
          <w:p w:rsidR="00000000" w:rsidP="00EF146C">
            <w:pPr>
              <w:pStyle w:val="BodyText"/>
              <w:rPr>
                <w:lang w:val="en-NZ"/>
              </w:rPr>
            </w:pPr>
            <w:r w:rsidRPr="00EF146C">
              <w:t>Mapping details and minor corrections.</w:t>
            </w:r>
          </w:p>
        </w:tc>
      </w:tr>
      <w:tr w:rsidTr="00EF146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146C">
            <w:pPr>
              <w:pStyle w:val="BodyText"/>
              <w:rPr>
                <w:lang w:val="en-NZ"/>
              </w:rPr>
            </w:pPr>
            <w:r w:rsidRPr="00EF146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F146C" w:rsidP="00EF146C">
            <w:pPr>
              <w:pStyle w:val="BodyText"/>
            </w:pPr>
            <w:r w:rsidRPr="00EF146C">
              <w:t>HLTENN054 Contribute to the registration eligibility and assessment of donors supersedes and is equivalent to HLTENN022 Contribute to the registration eligibility and assessment of donors.</w:t>
            </w:r>
          </w:p>
        </w:tc>
      </w:tr>
    </w:tbl>
    <w:p w:rsidR="00000000" w:rsidRPr="00EF146C" w:rsidP="00EF146C">
      <w:pPr>
        <w:pStyle w:val="BodyText"/>
      </w:pPr>
    </w:p>
    <w:p w:rsidR="00000000" w:rsidRPr="00EF146C" w:rsidP="00EF146C">
      <w:pPr>
        <w:pStyle w:val="AllowPageBreak"/>
      </w:pPr>
    </w:p>
    <w:p w:rsidR="00000000" w:rsidRPr="00EF146C" w:rsidP="00EF146C">
      <w:pPr>
        <w:pStyle w:val="Heading1"/>
      </w:pPr>
      <w:bookmarkStart w:id="11" w:name="O_1200624"/>
      <w:bookmarkEnd w:id="11"/>
      <w:r w:rsidRPr="00EF146C">
        <w:t>Performance Evidence</w:t>
      </w:r>
    </w:p>
    <w:p w:rsidR="00000000" w:rsidRPr="00EF146C" w:rsidP="00A964E8">
      <w:pPr>
        <w:pStyle w:val="BodyText"/>
      </w:pPr>
      <w:r w:rsidRPr="00EF146C">
        <w:t>Evidence of t</w:t>
      </w:r>
      <w:r w:rsidRPr="00EF146C">
        <w:t>he ability to complete tasks outlined in elements and performance criteria of this unit in the context of the job role, and:</w:t>
      </w:r>
    </w:p>
    <w:p w:rsidR="00000000" w:rsidRPr="00EF146C" w:rsidP="00EF146C">
      <w:pPr>
        <w:pStyle w:val="ListBullet"/>
      </w:pPr>
      <w:r w:rsidRPr="00EF146C">
        <w:t>register and assess three people as donors for blood or blood products</w:t>
      </w:r>
    </w:p>
    <w:p w:rsidR="00A964E8" w:rsidP="00A964E8">
      <w:pPr>
        <w:pStyle w:val="BodyText"/>
      </w:pPr>
      <w:r w:rsidRPr="00EF146C">
        <w:t>The tasks must be undertaken in accordance with the Nursing and Midwifery Board of Australia (NMBA) professional practice standards, codes and guidelines.</w:t>
      </w:r>
    </w:p>
    <w:p w:rsidR="00000000" w:rsidRPr="00EF146C" w:rsidP="00EF146C">
      <w:pPr>
        <w:pStyle w:val="Heading1"/>
      </w:pPr>
      <w:bookmarkStart w:id="12" w:name="O_1200623"/>
      <w:bookmarkEnd w:id="12"/>
      <w:r w:rsidRPr="00EF146C">
        <w:t>Knowledge Evidence</w:t>
      </w:r>
    </w:p>
    <w:p w:rsidR="00000000" w:rsidRPr="00EF146C" w:rsidP="00A964E8">
      <w:pPr>
        <w:pStyle w:val="BodyText"/>
      </w:pPr>
      <w:r w:rsidRPr="00EF146C">
        <w:t>Demonstrate knowledge required to complete tasks outlined in e</w:t>
      </w:r>
      <w:r w:rsidRPr="00EF146C">
        <w:t>lements and performance criteria of this unit:</w:t>
      </w:r>
    </w:p>
    <w:p w:rsidR="00000000" w:rsidRPr="00EF146C" w:rsidP="00EF146C">
      <w:pPr>
        <w:pStyle w:val="ListBullet"/>
      </w:pPr>
      <w:r w:rsidRPr="00EF146C">
        <w:t xml:space="preserve">apheresis </w:t>
      </w:r>
    </w:p>
    <w:p w:rsidR="00000000" w:rsidRPr="00EF146C" w:rsidP="00EF146C">
      <w:pPr>
        <w:pStyle w:val="ListBullet"/>
      </w:pPr>
      <w:r w:rsidRPr="00EF146C">
        <w:t>organisational policies and procedures relevant to blood donors</w:t>
      </w:r>
    </w:p>
    <w:p w:rsidR="00000000" w:rsidRPr="00EF146C" w:rsidP="00EF146C">
      <w:pPr>
        <w:pStyle w:val="ListBullet"/>
      </w:pPr>
      <w:r w:rsidRPr="00EF146C">
        <w:t>documentation and components of donor declaration form</w:t>
      </w:r>
    </w:p>
    <w:p w:rsidR="00000000" w:rsidRPr="00EF146C" w:rsidP="00EF146C">
      <w:pPr>
        <w:pStyle w:val="ListBullet"/>
      </w:pPr>
      <w:r w:rsidRPr="00EF146C">
        <w:t>importance and potential impact of the quality of the donation, and the reason</w:t>
      </w:r>
      <w:r w:rsidRPr="00EF146C">
        <w:t>s for careful selection of donors of blood and blood components:</w:t>
      </w:r>
    </w:p>
    <w:p w:rsidR="00000000" w:rsidRPr="00EF146C" w:rsidP="00EF146C">
      <w:pPr>
        <w:pStyle w:val="ListBullet2"/>
      </w:pPr>
      <w:r w:rsidRPr="00EF146C">
        <w:t>infectious diseases and incubation periods</w:t>
      </w:r>
    </w:p>
    <w:p w:rsidR="00000000" w:rsidRPr="00EF146C" w:rsidP="00EF146C">
      <w:pPr>
        <w:pStyle w:val="ListBullet2"/>
      </w:pPr>
      <w:r w:rsidRPr="00EF146C">
        <w:t>age, height and weight</w:t>
      </w:r>
    </w:p>
    <w:p w:rsidR="00000000" w:rsidRPr="00EF146C" w:rsidP="00EF146C">
      <w:pPr>
        <w:pStyle w:val="ListBullet2"/>
      </w:pPr>
      <w:r w:rsidRPr="00EF146C">
        <w:t>health of donor including recent surgery, invasive procedures, immunisations, injury and illness</w:t>
      </w:r>
    </w:p>
    <w:p w:rsidR="00000000" w:rsidRPr="00EF146C" w:rsidP="00EF146C">
      <w:pPr>
        <w:pStyle w:val="ListBullet2"/>
      </w:pPr>
      <w:r w:rsidRPr="00EF146C">
        <w:t>family health history</w:t>
      </w:r>
    </w:p>
    <w:p w:rsidR="00000000" w:rsidRPr="00EF146C" w:rsidP="00EF146C">
      <w:pPr>
        <w:pStyle w:val="ListBullet2"/>
      </w:pPr>
      <w:r w:rsidRPr="00EF146C">
        <w:t>frequency of donation</w:t>
      </w:r>
    </w:p>
    <w:p w:rsidR="00000000" w:rsidRPr="00EF146C" w:rsidP="00EF146C">
      <w:pPr>
        <w:pStyle w:val="ListBullet2"/>
      </w:pPr>
      <w:r w:rsidRPr="00EF146C">
        <w:t>geographical locations prior to donation which require special consideration</w:t>
      </w:r>
    </w:p>
    <w:p w:rsidR="00000000" w:rsidRPr="00EF146C" w:rsidP="00EF146C">
      <w:pPr>
        <w:pStyle w:val="ListBullet2"/>
      </w:pPr>
      <w:r w:rsidRPr="00EF146C">
        <w:t>lifestyle</w:t>
      </w:r>
    </w:p>
    <w:p w:rsidR="00000000" w:rsidRPr="00EF146C" w:rsidP="00EF146C">
      <w:pPr>
        <w:pStyle w:val="ListBullet2"/>
      </w:pPr>
      <w:r w:rsidRPr="00EF146C">
        <w:t>medications</w:t>
      </w:r>
    </w:p>
    <w:p w:rsidR="00000000" w:rsidRPr="00EF146C" w:rsidP="00EF146C">
      <w:pPr>
        <w:pStyle w:val="ListBullet2"/>
      </w:pPr>
      <w:r w:rsidRPr="00EF146C">
        <w:t>occupational activities that are considered hazardous</w:t>
      </w:r>
    </w:p>
    <w:p w:rsidR="00000000" w:rsidRPr="00EF146C" w:rsidP="00EF146C">
      <w:pPr>
        <w:pStyle w:val="ListBullet2"/>
      </w:pPr>
      <w:r w:rsidRPr="00EF146C">
        <w:t>recreational activities that are considered hazardous</w:t>
      </w:r>
    </w:p>
    <w:p w:rsidR="00000000" w:rsidRPr="00EF146C" w:rsidP="00EF146C">
      <w:pPr>
        <w:pStyle w:val="ListBullet2"/>
      </w:pPr>
      <w:r w:rsidRPr="00EF146C">
        <w:t>workers compensation</w:t>
      </w:r>
    </w:p>
    <w:p w:rsidR="00000000" w:rsidRPr="00EF146C" w:rsidP="00EF146C">
      <w:pPr>
        <w:pStyle w:val="ListBullet2"/>
      </w:pPr>
      <w:r w:rsidRPr="00EF146C">
        <w:t>safety</w:t>
      </w:r>
      <w:r w:rsidRPr="00EF146C">
        <w:t xml:space="preserve"> of blood supply</w:t>
      </w:r>
    </w:p>
    <w:p w:rsidR="00000000" w:rsidRPr="00EF146C" w:rsidP="00EF146C">
      <w:pPr>
        <w:pStyle w:val="ListBullet2"/>
      </w:pPr>
      <w:r w:rsidRPr="00EF146C">
        <w:t>safety of recipients</w:t>
      </w:r>
    </w:p>
    <w:p w:rsidR="00000000" w:rsidRPr="00EF146C" w:rsidP="00EF146C">
      <w:pPr>
        <w:pStyle w:val="ListBullet2"/>
      </w:pPr>
      <w:r w:rsidRPr="00EF146C">
        <w:t>safety of service provided to customers</w:t>
      </w:r>
    </w:p>
    <w:p w:rsidR="00000000" w:rsidRPr="00EF146C" w:rsidP="00EF146C">
      <w:pPr>
        <w:pStyle w:val="ListBullet2"/>
      </w:pPr>
      <w:r w:rsidRPr="00EF146C">
        <w:t>safety of staff</w:t>
      </w:r>
    </w:p>
    <w:p w:rsidR="00000000" w:rsidRPr="00EF146C" w:rsidP="00EF146C">
      <w:pPr>
        <w:pStyle w:val="ListBullet2"/>
      </w:pPr>
      <w:r w:rsidRPr="00EF146C">
        <w:t>production of a quality product</w:t>
      </w:r>
    </w:p>
    <w:p w:rsidR="00000000" w:rsidRPr="00EF146C" w:rsidP="00EF146C">
      <w:pPr>
        <w:pStyle w:val="ListBullet"/>
      </w:pPr>
      <w:r w:rsidRPr="00EF146C">
        <w:t>types of donations:</w:t>
      </w:r>
    </w:p>
    <w:p w:rsidR="00000000" w:rsidRPr="00EF146C" w:rsidP="00EF146C">
      <w:pPr>
        <w:pStyle w:val="ListBullet2"/>
      </w:pPr>
      <w:r w:rsidRPr="00EF146C">
        <w:t>plasma</w:t>
      </w:r>
    </w:p>
    <w:p w:rsidR="00000000" w:rsidRPr="00EF146C" w:rsidP="00EF146C">
      <w:pPr>
        <w:pStyle w:val="ListBullet2"/>
      </w:pPr>
      <w:r w:rsidRPr="00EF146C">
        <w:t>platelet</w:t>
      </w:r>
    </w:p>
    <w:p w:rsidR="00000000" w:rsidRPr="00EF146C" w:rsidP="00EF146C">
      <w:pPr>
        <w:pStyle w:val="ListBullet2"/>
      </w:pPr>
      <w:r w:rsidRPr="00EF146C">
        <w:t>red blood cell plasma</w:t>
      </w:r>
    </w:p>
    <w:p w:rsidR="00000000" w:rsidRPr="00EF146C" w:rsidP="00EF146C">
      <w:pPr>
        <w:pStyle w:val="ListBullet"/>
      </w:pPr>
      <w:r w:rsidRPr="00EF146C">
        <w:t>purpose and use of apheresis donations including timeframe requirements</w:t>
      </w:r>
    </w:p>
    <w:p w:rsidR="00000000" w:rsidRPr="00EF146C" w:rsidP="00EF146C">
      <w:pPr>
        <w:pStyle w:val="ListBullet"/>
      </w:pPr>
      <w:r w:rsidRPr="00EF146C">
        <w:t>purpose and use of blood and blood products, including types and functions of infusion and transfusion</w:t>
      </w:r>
    </w:p>
    <w:p w:rsidR="00000000" w:rsidRPr="00EF146C" w:rsidP="00EF146C">
      <w:pPr>
        <w:pStyle w:val="ListBullet"/>
      </w:pPr>
      <w:r w:rsidRPr="00EF146C">
        <w:t>safe disposal, and minimisation of waste of resources resulting from collection o</w:t>
      </w:r>
      <w:r w:rsidRPr="00EF146C">
        <w:t>f unsuitable donations</w:t>
      </w:r>
    </w:p>
    <w:p w:rsidR="00000000" w:rsidRPr="00EF146C" w:rsidP="00EF146C">
      <w:pPr>
        <w:pStyle w:val="ListBullet"/>
      </w:pPr>
      <w:r w:rsidRPr="00EF146C">
        <w:t>World Health Organization (WHO) guidelines:</w:t>
      </w:r>
    </w:p>
    <w:p w:rsidR="00000000" w:rsidRPr="00EF146C" w:rsidP="00EF146C">
      <w:pPr>
        <w:pStyle w:val="ListBullet2"/>
      </w:pPr>
      <w:r w:rsidRPr="00EF146C">
        <w:t>selection of blood donors</w:t>
      </w:r>
    </w:p>
    <w:p w:rsidR="00000000" w:rsidRPr="00EF146C" w:rsidP="00EF146C">
      <w:pPr>
        <w:pStyle w:val="ListBullet2"/>
      </w:pPr>
      <w:r w:rsidRPr="00EF146C">
        <w:t>international travel and health vaccination requirements</w:t>
      </w:r>
    </w:p>
    <w:p w:rsidR="00000000" w:rsidRPr="00EF146C" w:rsidP="00EF146C">
      <w:pPr>
        <w:pStyle w:val="ListBullet"/>
      </w:pPr>
      <w:r w:rsidRPr="00EF146C">
        <w:t>Australian Code of Good Manufacturing Practice (GMP) for Blood and Blood Components, Human Tissues and H</w:t>
      </w:r>
      <w:r w:rsidRPr="00EF146C">
        <w:t>uman Cellular Therapy Products</w:t>
      </w:r>
    </w:p>
    <w:p w:rsidR="00000000" w:rsidRPr="00EF146C" w:rsidP="00EF146C">
      <w:pPr>
        <w:pStyle w:val="ListBullet"/>
      </w:pPr>
      <w:r w:rsidRPr="00EF146C">
        <w:t>Australian Red Cross service for blood and blood products donations</w:t>
      </w:r>
    </w:p>
    <w:p w:rsidR="00000000" w:rsidRPr="00EF146C" w:rsidP="00EF146C">
      <w:pPr>
        <w:pStyle w:val="ListBullet"/>
      </w:pPr>
      <w:r w:rsidRPr="00EF146C">
        <w:t>Monthly Index of Medical Specialities (MIMS)</w:t>
      </w:r>
    </w:p>
    <w:p w:rsidR="00000000" w:rsidRPr="00EF146C" w:rsidP="00EF146C">
      <w:pPr>
        <w:pStyle w:val="ListBullet"/>
      </w:pPr>
      <w:r w:rsidRPr="00EF146C">
        <w:t>National Blood Transfusion Committee (NBTC).</w:t>
      </w:r>
    </w:p>
    <w:p w:rsidR="00000000" w:rsidRPr="00EF146C" w:rsidP="00EF146C">
      <w:pPr>
        <w:pStyle w:val="AllowPageBreak"/>
      </w:pPr>
    </w:p>
    <w:p w:rsidR="00000000" w:rsidRPr="00EF146C" w:rsidP="00EF146C">
      <w:pPr>
        <w:pStyle w:val="Heading1"/>
      </w:pPr>
      <w:bookmarkStart w:id="13" w:name="O_1200622"/>
      <w:bookmarkEnd w:id="13"/>
      <w:r w:rsidRPr="00EF146C">
        <w:t>Assessment Conditions</w:t>
      </w:r>
    </w:p>
    <w:p w:rsidR="00000000" w:rsidRPr="00EF146C" w:rsidP="00A964E8">
      <w:pPr>
        <w:pStyle w:val="BodyText"/>
      </w:pPr>
      <w:r w:rsidRPr="00EF146C">
        <w:t>To be eligible to apply for registration as an enrolled nurse and to practice in Australia, each applicant must complete a Diploma of Nursing program accredited by the Australian Nursing and Midwifery Accreditation Council (ANMAC) and approved as ‘an appro</w:t>
      </w:r>
      <w:r w:rsidRPr="00EF146C">
        <w:t xml:space="preserve">ved program of study’ by the Nursing and Midwifery Board of Australia (NMBA) in accordance with the Enrolled Nurse Accreditation Standards. </w:t>
      </w:r>
    </w:p>
    <w:p w:rsidR="00000000" w:rsidRPr="00EF146C" w:rsidP="00A964E8">
      <w:pPr>
        <w:pStyle w:val="BodyText"/>
      </w:pPr>
      <w:r w:rsidRPr="00EF146C">
        <w:t xml:space="preserve">For more detail visit </w:t>
      </w:r>
      <w:r>
        <w:fldChar w:fldCharType="begin"/>
      </w:r>
      <w:r>
        <w:instrText xml:space="preserve"> HYPERLINK "https://www.ahpra.gov.au" </w:instrText>
      </w:r>
      <w:r>
        <w:fldChar w:fldCharType="separate"/>
      </w:r>
      <w:r w:rsidRPr="0076517A">
        <w:rPr>
          <w:rStyle w:val="Hyperlink"/>
        </w:rPr>
        <w:t>https://www.ahpra.gov.au</w:t>
      </w:r>
      <w:r>
        <w:fldChar w:fldCharType="end"/>
      </w:r>
      <w:r w:rsidRPr="00EF146C">
        <w:t xml:space="preserve">.  </w:t>
      </w:r>
    </w:p>
    <w:p w:rsidR="00000000" w:rsidRPr="00EF146C" w:rsidP="00A964E8">
      <w:pPr>
        <w:pStyle w:val="BodyText"/>
      </w:pPr>
      <w:r w:rsidRPr="00EF146C">
        <w:t>Skills must be demonstrated in the workplace or in a simulated en</w:t>
      </w:r>
      <w:r w:rsidRPr="00EF146C">
        <w:t>vironment as specified in the performance evidence that model industry operating conditions including access to real people for simulations and scenarios in enrolled nursing work.</w:t>
      </w:r>
    </w:p>
    <w:p w:rsidR="00000000" w:rsidRPr="00EF146C" w:rsidP="00A964E8">
      <w:pPr>
        <w:pStyle w:val="BodyText"/>
      </w:pPr>
      <w:r w:rsidRPr="00EF146C">
        <w:t xml:space="preserve">Assessors must satisfy the Standards for Registered Training Organisations’ </w:t>
      </w:r>
      <w:r w:rsidRPr="00EF146C">
        <w:t>requirements for assessors.</w:t>
      </w:r>
    </w:p>
    <w:p w:rsidR="00000000" w:rsidRPr="00EF146C" w:rsidP="00A964E8">
      <w:pPr>
        <w:pStyle w:val="BodyText"/>
      </w:pPr>
      <w:r w:rsidRPr="00EF146C">
        <w:t>Assessors must also hold current registration as a registered nurse with the Nursing and Midwifery Board of Australia (NMBA).</w:t>
      </w:r>
    </w:p>
    <w:p w:rsidR="00000000" w:rsidRPr="00EF146C" w:rsidP="00EF146C">
      <w:pPr>
        <w:pStyle w:val="Heading1"/>
      </w:pPr>
      <w:bookmarkStart w:id="14" w:name="O_1200636"/>
      <w:bookmarkEnd w:id="14"/>
      <w:r w:rsidRPr="00EF146C">
        <w:t>Links</w:t>
      </w:r>
    </w:p>
    <w:p w:rsidR="00000000" w:rsidRPr="00EF146C" w:rsidP="00A964E8">
      <w:pPr>
        <w:pStyle w:val="BodyText"/>
      </w:pPr>
      <w:r w:rsidRPr="00EF146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517A">
        <w:rPr>
          <w:rStyle w:val="Hyperlink"/>
        </w:rPr>
        <w:t>https://vetnet.gov.au/Pages/TrainingDocs.aspx?q=ced1390f-48d9-4ab0-bd50-b015e5485705</w:t>
      </w:r>
      <w:r>
        <w:fldChar w:fldCharType="end"/>
      </w:r>
    </w:p>
    <w:p w:rsidR="00000000" w:rsidRPr="00EF146C" w:rsidP="00EF146C"/>
    <w:sectPr w:rsidSect="00EF14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rsidRPr="00A964E8" w:rsidP="00A96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E8" w:rsidP="00EF1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64E8" w:rsidP="00EF14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964E8" w:rsidP="00EF14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rsidP="00EF146C">
    <w:pPr>
      <w:pStyle w:val="Footer"/>
      <w:framePr w:wrap="around"/>
    </w:pPr>
    <w:r>
      <w:fldChar w:fldCharType="begin"/>
    </w:r>
    <w:r>
      <w:instrText xml:space="preserve"> DOCPROPERTY  Subject  \* MERGEFORMAT </w:instrText>
    </w:r>
    <w:r>
      <w:fldChar w:fldCharType="separate"/>
    </w:r>
    <w:r w:rsidR="00A964E8">
      <w:t>Approved</w:t>
    </w:r>
    <w:r w:rsidR="00A964E8">
      <w:fldChar w:fldCharType="end"/>
    </w:r>
    <w:r>
      <w:tab/>
      <w:t xml:space="preserve">Page </w:t>
    </w:r>
    <w:r>
      <w:fldChar w:fldCharType="begin"/>
    </w:r>
    <w:r>
      <w:instrText xml:space="preserve"> PAGE  \* Arabic  \* MERGEFORMAT </w:instrText>
    </w:r>
    <w:r>
      <w:fldChar w:fldCharType="separate"/>
    </w:r>
    <w:r w:rsidR="00A964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64E8">
      <w:rPr>
        <w:noProof/>
      </w:rPr>
      <w:t>4</w:t>
    </w:r>
    <w:r>
      <w:rPr>
        <w:noProof/>
      </w:rPr>
      <w:fldChar w:fldCharType="end"/>
    </w:r>
  </w:p>
  <w:p w:rsidR="00EF146C" w:rsidP="00EF146C">
    <w:pPr>
      <w:pStyle w:val="Footer"/>
      <w:framePr w:wrap="around"/>
    </w:pPr>
    <w:r>
      <w:t xml:space="preserve">© Commonwealth of Australia, </w:t>
    </w:r>
    <w:r>
      <w:fldChar w:fldCharType="begin"/>
    </w:r>
    <w:r>
      <w:instrText xml:space="preserve"> DATE  \@ "yyyy"  \* MERGEFORMAT </w:instrText>
    </w:r>
    <w:r>
      <w:fldChar w:fldCharType="separate"/>
    </w:r>
    <w:r w:rsidR="00A964E8">
      <w:rPr>
        <w:noProof/>
      </w:rPr>
      <w:t>2025</w:t>
    </w:r>
    <w:r>
      <w:fldChar w:fldCharType="end"/>
    </w:r>
    <w:r>
      <w:tab/>
    </w:r>
    <w:r>
      <w:fldChar w:fldCharType="begin"/>
    </w:r>
    <w:r>
      <w:instrText xml:space="preserve"> DOCPROPERTY  Author  \* MERGEFORMAT </w:instrText>
    </w:r>
    <w:r>
      <w:fldChar w:fldCharType="separate"/>
    </w:r>
    <w:r w:rsidR="00A964E8">
      <w:t>HumanAbility</w:t>
    </w:r>
    <w:r w:rsidR="00A964E8">
      <w:fldChar w:fldCharType="end"/>
    </w:r>
  </w:p>
  <w:p w:rsidR="00EF146C" w:rsidP="00EF1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46C" w:rsidRPr="00A964E8" w:rsidP="00A96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E8" w:rsidRPr="002D2AF8" w:rsidP="00EF146C">
    <w:pPr>
      <w:pStyle w:val="Header"/>
      <w:framePr w:wrap="around"/>
    </w:pPr>
    <w:r>
      <w:fldChar w:fldCharType="begin"/>
    </w:r>
    <w:r>
      <w:instrText xml:space="preserve"> TITLE   \* MERGEFORMAT </w:instrText>
    </w:r>
    <w:r>
      <w:fldChar w:fldCharType="separate"/>
    </w:r>
    <w:r>
      <w:t>HLTENN054 Contribute to the registration eligibility and assessment of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64E8" w:rsidP="00EF14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6C" w:rsidRPr="002D2AF8" w:rsidP="00EF146C">
    <w:pPr>
      <w:pStyle w:val="Header"/>
      <w:framePr w:wrap="around"/>
    </w:pPr>
    <w:r>
      <w:fldChar w:fldCharType="begin"/>
    </w:r>
    <w:r>
      <w:instrText xml:space="preserve"> TITLE   \* MERGEFORMAT </w:instrText>
    </w:r>
    <w:r>
      <w:fldChar w:fldCharType="separate"/>
    </w:r>
    <w:r w:rsidR="00A964E8">
      <w:t>HLTENN054 Contribute to the registration eligibility and assessment of donors</w:t>
    </w:r>
    <w:r w:rsidR="00A964E8">
      <w:fldChar w:fldCharType="end"/>
    </w:r>
    <w:r>
      <w:tab/>
      <w:t xml:space="preserve">Date this document was generated: </w:t>
    </w:r>
    <w:r>
      <w:fldChar w:fldCharType="begin"/>
    </w:r>
    <w:r>
      <w:instrText xml:space="preserve"> CREATEDATE  \@ "d MMMM yyyy"  \* MERGEFORMAT </w:instrText>
    </w:r>
    <w:r>
      <w:fldChar w:fldCharType="separate"/>
    </w:r>
    <w:r w:rsidR="00A964E8">
      <w:rPr>
        <w:noProof/>
      </w:rPr>
      <w:t>2 March 2025</w:t>
    </w:r>
    <w:r>
      <w:fldChar w:fldCharType="end"/>
    </w:r>
  </w:p>
  <w:p w:rsidR="00EF146C" w:rsidP="00EF1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01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B00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82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46C"/>
    <w:pPr>
      <w:spacing w:before="360" w:after="60"/>
      <w:outlineLvl w:val="0"/>
    </w:pPr>
    <w:rPr>
      <w:sz w:val="32"/>
    </w:rPr>
  </w:style>
  <w:style w:type="paragraph" w:styleId="Heading2">
    <w:name w:val="heading 2"/>
    <w:basedOn w:val="HeadingBase"/>
    <w:next w:val="BodyText"/>
    <w:link w:val="Heading2Char"/>
    <w:qFormat/>
    <w:rsid w:val="00EF146C"/>
    <w:pPr>
      <w:keepLines/>
      <w:spacing w:before="240" w:after="120"/>
      <w:outlineLvl w:val="1"/>
    </w:pPr>
    <w:rPr>
      <w:sz w:val="28"/>
      <w:szCs w:val="40"/>
    </w:rPr>
  </w:style>
  <w:style w:type="paragraph" w:styleId="Heading3">
    <w:name w:val="heading 3"/>
    <w:basedOn w:val="HeadingBase"/>
    <w:next w:val="BodyText"/>
    <w:link w:val="Heading3Char"/>
    <w:qFormat/>
    <w:rsid w:val="00EF146C"/>
    <w:pPr>
      <w:spacing w:before="180" w:after="120"/>
      <w:outlineLvl w:val="2"/>
    </w:pPr>
    <w:rPr>
      <w:spacing w:val="-10"/>
      <w:kern w:val="32"/>
    </w:rPr>
  </w:style>
  <w:style w:type="paragraph" w:styleId="Heading4">
    <w:name w:val="heading 4"/>
    <w:basedOn w:val="HeadingBase"/>
    <w:next w:val="BodyText"/>
    <w:link w:val="Heading4Char"/>
    <w:qFormat/>
    <w:rsid w:val="00EF146C"/>
    <w:pPr>
      <w:spacing w:before="160" w:after="120"/>
      <w:outlineLvl w:val="3"/>
    </w:pPr>
    <w:rPr>
      <w:sz w:val="22"/>
    </w:rPr>
  </w:style>
  <w:style w:type="paragraph" w:styleId="Heading5">
    <w:name w:val="heading 5"/>
    <w:basedOn w:val="HeadingBase"/>
    <w:next w:val="Normal"/>
    <w:link w:val="Heading5Char"/>
    <w:qFormat/>
    <w:rsid w:val="00EF146C"/>
    <w:pPr>
      <w:spacing w:before="80"/>
      <w:outlineLvl w:val="4"/>
    </w:pPr>
    <w:rPr>
      <w:color w:val="918585"/>
      <w:sz w:val="20"/>
    </w:rPr>
  </w:style>
  <w:style w:type="paragraph" w:styleId="Heading6">
    <w:name w:val="heading 6"/>
    <w:basedOn w:val="HeadingBase"/>
    <w:next w:val="Normal"/>
    <w:link w:val="Heading6Char"/>
    <w:qFormat/>
    <w:rsid w:val="00EF146C"/>
    <w:pPr>
      <w:spacing w:before="60"/>
      <w:outlineLvl w:val="5"/>
    </w:pPr>
    <w:rPr>
      <w:color w:val="918585"/>
      <w:sz w:val="20"/>
    </w:rPr>
  </w:style>
  <w:style w:type="paragraph" w:styleId="Heading7">
    <w:name w:val="heading 7"/>
    <w:basedOn w:val="Normal"/>
    <w:next w:val="Normal"/>
    <w:link w:val="Heading7Char"/>
    <w:qFormat/>
    <w:rsid w:val="00EF146C"/>
    <w:pPr>
      <w:ind w:left="720"/>
      <w:outlineLvl w:val="6"/>
    </w:pPr>
    <w:rPr>
      <w:i/>
    </w:rPr>
  </w:style>
  <w:style w:type="paragraph" w:styleId="Heading8">
    <w:name w:val="heading 8"/>
    <w:basedOn w:val="Normal"/>
    <w:next w:val="Normal"/>
    <w:link w:val="Heading8Char"/>
    <w:qFormat/>
    <w:rsid w:val="00EF146C"/>
    <w:pPr>
      <w:ind w:left="720"/>
      <w:outlineLvl w:val="7"/>
    </w:pPr>
    <w:rPr>
      <w:i/>
    </w:rPr>
  </w:style>
  <w:style w:type="paragraph" w:styleId="Heading9">
    <w:name w:val="heading 9"/>
    <w:basedOn w:val="Normal"/>
    <w:next w:val="Normal"/>
    <w:link w:val="Heading9Char"/>
    <w:qFormat/>
    <w:rsid w:val="00EF146C"/>
    <w:pPr>
      <w:ind w:left="720"/>
      <w:outlineLvl w:val="8"/>
    </w:pPr>
    <w:rPr>
      <w:i/>
    </w:rPr>
  </w:style>
  <w:style w:type="character" w:default="1" w:styleId="DefaultParagraphFont">
    <w:name w:val="Default Paragraph Font"/>
    <w:uiPriority w:val="1"/>
    <w:unhideWhenUsed/>
    <w:rsid w:val="00EF1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46C"/>
  </w:style>
  <w:style w:type="character" w:customStyle="1" w:styleId="Heading1Char">
    <w:name w:val="Heading 1 Char"/>
    <w:basedOn w:val="DefaultParagraphFont"/>
    <w:link w:val="Heading1"/>
    <w:rsid w:val="00EF146C"/>
    <w:rPr>
      <w:rFonts w:ascii="Times New Roman" w:eastAsia="Times New Roman" w:hAnsi="Times New Roman" w:cs="Times New Roman"/>
      <w:b/>
      <w:sz w:val="32"/>
      <w:szCs w:val="20"/>
      <w:lang w:eastAsia="en-US"/>
    </w:rPr>
  </w:style>
  <w:style w:type="paragraph" w:styleId="BodyText">
    <w:name w:val="Body Text"/>
    <w:basedOn w:val="Normal"/>
    <w:link w:val="BodyTextChar"/>
    <w:rsid w:val="00EF1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46C"/>
    <w:rPr>
      <w:rFonts w:ascii="Times New Roman" w:eastAsia="Times New Roman" w:hAnsi="Times New Roman" w:cs="Times New Roman"/>
      <w:sz w:val="24"/>
      <w:lang w:eastAsia="en-US"/>
    </w:rPr>
  </w:style>
  <w:style w:type="paragraph" w:styleId="List">
    <w:name w:val="List"/>
    <w:basedOn w:val="BodyText"/>
    <w:next w:val="BodyText"/>
    <w:rsid w:val="00EF146C"/>
    <w:pPr>
      <w:tabs>
        <w:tab w:val="left" w:pos="340"/>
      </w:tabs>
      <w:spacing w:before="60" w:after="60"/>
      <w:ind w:left="340" w:hanging="340"/>
    </w:pPr>
  </w:style>
  <w:style w:type="paragraph" w:styleId="ListBullet">
    <w:name w:val="List Bullet"/>
    <w:basedOn w:val="List"/>
    <w:rsid w:val="00EF146C"/>
    <w:pPr>
      <w:numPr>
        <w:numId w:val="12"/>
      </w:numPr>
      <w:tabs>
        <w:tab w:val="clear" w:pos="340"/>
      </w:tabs>
      <w:spacing w:before="40" w:after="40"/>
    </w:pPr>
  </w:style>
  <w:style w:type="character" w:customStyle="1" w:styleId="SpecialBold">
    <w:name w:val="Special Bold"/>
    <w:basedOn w:val="DefaultParagraphFont"/>
    <w:rsid w:val="00EF146C"/>
    <w:rPr>
      <w:b/>
      <w:spacing w:val="0"/>
    </w:rPr>
  </w:style>
  <w:style w:type="paragraph" w:styleId="ListBullet2">
    <w:name w:val="List Bullet 2"/>
    <w:basedOn w:val="List2"/>
    <w:rsid w:val="00EF146C"/>
    <w:pPr>
      <w:numPr>
        <w:numId w:val="13"/>
      </w:numPr>
      <w:tabs>
        <w:tab w:val="clear" w:pos="680"/>
      </w:tabs>
    </w:pPr>
  </w:style>
  <w:style w:type="character" w:styleId="Emphasis">
    <w:name w:val="Emphasis"/>
    <w:basedOn w:val="DefaultParagraphFont"/>
    <w:qFormat/>
    <w:rsid w:val="00EF146C"/>
    <w:rPr>
      <w:i/>
    </w:rPr>
  </w:style>
  <w:style w:type="paragraph" w:customStyle="1" w:styleId="SuperHeading">
    <w:name w:val="SuperHeading"/>
    <w:basedOn w:val="Normal"/>
    <w:rsid w:val="00EF146C"/>
    <w:pPr>
      <w:spacing w:before="240" w:after="120"/>
      <w:outlineLvl w:val="0"/>
    </w:pPr>
    <w:rPr>
      <w:rFonts w:ascii="Times New Roman" w:hAnsi="Times New Roman"/>
      <w:b/>
      <w:sz w:val="32"/>
    </w:rPr>
  </w:style>
  <w:style w:type="paragraph" w:customStyle="1" w:styleId="AllowPageBreak">
    <w:name w:val="AllowPageBreak"/>
    <w:rsid w:val="00EF1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46C"/>
    <w:rPr>
      <w:rFonts w:ascii="Courier New" w:eastAsia="Times New Roman" w:hAnsi="Courier New" w:cs="Times New Roman"/>
      <w:i/>
      <w:szCs w:val="20"/>
      <w:lang w:eastAsia="en-US"/>
    </w:rPr>
  </w:style>
  <w:style w:type="paragraph" w:customStyle="1" w:styleId="HeadingBase">
    <w:name w:val="Heading Base"/>
    <w:rsid w:val="00EF1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46C"/>
    <w:pPr>
      <w:tabs>
        <w:tab w:val="right" w:leader="dot" w:pos="9072"/>
      </w:tabs>
      <w:ind w:left="567"/>
    </w:pPr>
    <w:rPr>
      <w:szCs w:val="22"/>
    </w:rPr>
  </w:style>
  <w:style w:type="paragraph" w:customStyle="1" w:styleId="TOCBase">
    <w:name w:val="TOC Base"/>
    <w:rsid w:val="00EF1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46C"/>
    <w:pPr>
      <w:tabs>
        <w:tab w:val="right" w:leader="dot" w:pos="9072"/>
      </w:tabs>
      <w:spacing w:before="40" w:after="40"/>
      <w:ind w:left="284"/>
    </w:pPr>
    <w:rPr>
      <w:rFonts w:ascii="Times New Roman" w:hAnsi="Times New Roman"/>
    </w:rPr>
  </w:style>
  <w:style w:type="paragraph" w:styleId="TOC1">
    <w:name w:val="toc 1"/>
    <w:basedOn w:val="TOCBase"/>
    <w:next w:val="Normal"/>
    <w:rsid w:val="00EF1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46C"/>
    <w:rPr>
      <w:rFonts w:ascii="Times New Roman" w:eastAsia="Times New Roman" w:hAnsi="Times New Roman" w:cs="Times New Roman"/>
      <w:sz w:val="16"/>
      <w:lang w:eastAsia="en-US"/>
    </w:rPr>
  </w:style>
  <w:style w:type="paragraph" w:styleId="Title">
    <w:name w:val="Title"/>
    <w:basedOn w:val="HeadingBase"/>
    <w:link w:val="TitleChar"/>
    <w:qFormat/>
    <w:rsid w:val="00EF146C"/>
    <w:pPr>
      <w:spacing w:before="5040"/>
      <w:jc w:val="center"/>
    </w:pPr>
    <w:rPr>
      <w:sz w:val="48"/>
      <w:szCs w:val="72"/>
      <w:lang w:val="en-US"/>
    </w:rPr>
  </w:style>
  <w:style w:type="character" w:customStyle="1" w:styleId="TitleChar">
    <w:name w:val="Title Char"/>
    <w:basedOn w:val="DefaultParagraphFont"/>
    <w:link w:val="Title"/>
    <w:rsid w:val="00EF1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46C"/>
    <w:pPr>
      <w:tabs>
        <w:tab w:val="left" w:pos="3600"/>
        <w:tab w:val="left" w:pos="3958"/>
      </w:tabs>
    </w:pPr>
  </w:style>
  <w:style w:type="paragraph" w:customStyle="1" w:styleId="Note">
    <w:name w:val="Note"/>
    <w:basedOn w:val="BodyText"/>
    <w:rsid w:val="00EF1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46C"/>
    <w:pPr>
      <w:framePr w:wrap="auto" w:hAnchor="text" w:y="6049"/>
    </w:pPr>
    <w:rPr>
      <w:color w:val="000000"/>
      <w:sz w:val="40"/>
    </w:rPr>
  </w:style>
  <w:style w:type="paragraph" w:customStyle="1" w:styleId="TOCTitle">
    <w:name w:val="TOCTitle"/>
    <w:basedOn w:val="Heading1"/>
    <w:rsid w:val="00EF146C"/>
    <w:pPr>
      <w:spacing w:after="240"/>
      <w:jc w:val="center"/>
      <w:outlineLvl w:val="9"/>
    </w:pPr>
    <w:rPr>
      <w:caps/>
    </w:rPr>
  </w:style>
  <w:style w:type="paragraph" w:customStyle="1" w:styleId="Version">
    <w:name w:val="Version"/>
    <w:rsid w:val="00EF1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46C"/>
    <w:pPr>
      <w:keepNext w:val="0"/>
      <w:tabs>
        <w:tab w:val="right" w:pos="4176"/>
      </w:tabs>
      <w:ind w:left="198" w:hanging="198"/>
    </w:pPr>
    <w:rPr>
      <w:rFonts w:ascii="Garamond" w:hAnsi="Garamond"/>
    </w:rPr>
  </w:style>
  <w:style w:type="paragraph" w:styleId="IndexHeading">
    <w:name w:val="index heading"/>
    <w:basedOn w:val="Normal"/>
    <w:next w:val="Index1"/>
    <w:semiHidden/>
    <w:rsid w:val="00EF146C"/>
    <w:pPr>
      <w:spacing w:before="120" w:after="120"/>
    </w:pPr>
    <w:rPr>
      <w:rFonts w:ascii="Arial" w:hAnsi="Arial"/>
      <w:b/>
      <w:color w:val="918585"/>
      <w:sz w:val="24"/>
    </w:rPr>
  </w:style>
  <w:style w:type="paragraph" w:styleId="Header">
    <w:name w:val="header"/>
    <w:basedOn w:val="Normal"/>
    <w:link w:val="HeaderChar"/>
    <w:rsid w:val="00EF1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46C"/>
    <w:rPr>
      <w:rFonts w:ascii="Times New Roman" w:eastAsia="Times New Roman" w:hAnsi="Times New Roman" w:cs="Times New Roman"/>
      <w:sz w:val="16"/>
      <w:szCs w:val="20"/>
      <w:lang w:val="en-GB" w:eastAsia="en-US"/>
    </w:rPr>
  </w:style>
  <w:style w:type="paragraph" w:customStyle="1" w:styleId="Chapter">
    <w:name w:val="Chapter"/>
    <w:basedOn w:val="Normal"/>
    <w:rsid w:val="00EF146C"/>
    <w:pPr>
      <w:spacing w:before="240"/>
    </w:pPr>
    <w:rPr>
      <w:rFonts w:ascii="Times New Roman" w:hAnsi="Times New Roman"/>
      <w:smallCaps/>
      <w:spacing w:val="80"/>
      <w:sz w:val="28"/>
    </w:rPr>
  </w:style>
  <w:style w:type="paragraph" w:customStyle="1" w:styleId="InChapter">
    <w:name w:val="InChapter"/>
    <w:basedOn w:val="Heading3"/>
    <w:rsid w:val="00EF146C"/>
    <w:pPr>
      <w:spacing w:after="240"/>
      <w:outlineLvl w:val="9"/>
    </w:pPr>
    <w:rPr>
      <w:noProof/>
    </w:rPr>
  </w:style>
  <w:style w:type="paragraph" w:styleId="Index2">
    <w:name w:val="index 2"/>
    <w:basedOn w:val="Normal"/>
    <w:next w:val="Normal"/>
    <w:semiHidden/>
    <w:rsid w:val="00EF146C"/>
    <w:pPr>
      <w:tabs>
        <w:tab w:val="right" w:pos="4176"/>
      </w:tabs>
      <w:ind w:left="568" w:hanging="284"/>
    </w:pPr>
    <w:rPr>
      <w:rFonts w:ascii="Garamond" w:hAnsi="Garamond"/>
    </w:rPr>
  </w:style>
  <w:style w:type="paragraph" w:customStyle="1" w:styleId="Byline">
    <w:name w:val="Byline"/>
    <w:rsid w:val="00EF1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46C"/>
    <w:pPr>
      <w:tabs>
        <w:tab w:val="clear" w:pos="3600"/>
        <w:tab w:val="clear" w:pos="3958"/>
      </w:tabs>
      <w:jc w:val="right"/>
    </w:pPr>
  </w:style>
  <w:style w:type="paragraph" w:styleId="Caption">
    <w:name w:val="caption"/>
    <w:basedOn w:val="BodyText"/>
    <w:next w:val="Normal"/>
    <w:qFormat/>
    <w:rsid w:val="00EF146C"/>
    <w:pPr>
      <w:framePr w:w="2268" w:hSpace="181" w:vSpace="181" w:wrap="around" w:vAnchor="text" w:hAnchor="page" w:x="1135" w:y="285" w:anchorLock="1"/>
    </w:pPr>
    <w:rPr>
      <w:i/>
    </w:rPr>
  </w:style>
  <w:style w:type="paragraph" w:customStyle="1" w:styleId="MiniTOCTitle">
    <w:name w:val="MiniTOCTitle"/>
    <w:basedOn w:val="Heading4"/>
    <w:rsid w:val="00EF146C"/>
    <w:pPr>
      <w:spacing w:before="240"/>
      <w:outlineLvl w:val="9"/>
    </w:pPr>
    <w:rPr>
      <w:noProof/>
      <w:sz w:val="24"/>
    </w:rPr>
  </w:style>
  <w:style w:type="paragraph" w:customStyle="1" w:styleId="MiniTOCItem">
    <w:name w:val="MiniTOCItem"/>
    <w:basedOn w:val="ListBullet"/>
    <w:rsid w:val="00EF146C"/>
    <w:pPr>
      <w:numPr>
        <w:numId w:val="0"/>
      </w:numPr>
      <w:tabs>
        <w:tab w:val="right" w:leader="dot" w:pos="6521"/>
      </w:tabs>
      <w:spacing w:before="0" w:after="0"/>
    </w:pPr>
  </w:style>
  <w:style w:type="paragraph" w:customStyle="1" w:styleId="TOFTitle">
    <w:name w:val="TOFTitle"/>
    <w:basedOn w:val="TOCTitle"/>
    <w:rsid w:val="00EF146C"/>
  </w:style>
  <w:style w:type="paragraph" w:styleId="TableofFigures">
    <w:name w:val="table of figures"/>
    <w:basedOn w:val="Normal"/>
    <w:next w:val="Normal"/>
    <w:semiHidden/>
    <w:rsid w:val="00EF146C"/>
    <w:pPr>
      <w:tabs>
        <w:tab w:val="right" w:leader="dot" w:pos="9072"/>
      </w:tabs>
      <w:ind w:left="970" w:hanging="403"/>
    </w:pPr>
    <w:rPr>
      <w:rFonts w:ascii="Times New Roman" w:hAnsi="Times New Roman"/>
      <w:b/>
    </w:rPr>
  </w:style>
  <w:style w:type="paragraph" w:styleId="ListNumber">
    <w:name w:val="List Number"/>
    <w:basedOn w:val="List"/>
    <w:rsid w:val="00EF146C"/>
    <w:pPr>
      <w:numPr>
        <w:numId w:val="15"/>
      </w:numPr>
      <w:tabs>
        <w:tab w:val="clear" w:pos="340"/>
      </w:tabs>
    </w:pPr>
  </w:style>
  <w:style w:type="character" w:customStyle="1" w:styleId="WingdingSymbols">
    <w:name w:val="Wingding Symbols"/>
    <w:rsid w:val="00EF146C"/>
    <w:rPr>
      <w:rFonts w:ascii="Wingdings" w:hAnsi="Wingdings"/>
    </w:rPr>
  </w:style>
  <w:style w:type="paragraph" w:customStyle="1" w:styleId="TableHeading">
    <w:name w:val="Table Heading"/>
    <w:basedOn w:val="HeadingBase"/>
    <w:rsid w:val="00EF146C"/>
    <w:pPr>
      <w:keepLines/>
      <w:pBdr>
        <w:bottom w:val="single" w:sz="6" w:space="1" w:color="918585"/>
      </w:pBdr>
      <w:spacing w:before="240"/>
    </w:pPr>
  </w:style>
  <w:style w:type="character" w:customStyle="1" w:styleId="HotSpot">
    <w:name w:val="HotSpot"/>
    <w:rsid w:val="00EF146C"/>
    <w:rPr>
      <w:color w:val="0033CC"/>
      <w:u w:val="none"/>
    </w:rPr>
  </w:style>
  <w:style w:type="paragraph" w:customStyle="1" w:styleId="BodyTextRight">
    <w:name w:val="Body Text Right"/>
    <w:basedOn w:val="BodyText"/>
    <w:rsid w:val="00EF146C"/>
    <w:pPr>
      <w:spacing w:before="0" w:after="0"/>
      <w:jc w:val="right"/>
    </w:pPr>
  </w:style>
  <w:style w:type="paragraph" w:styleId="Index3">
    <w:name w:val="index 3"/>
    <w:basedOn w:val="ListNumber2"/>
    <w:next w:val="Normal"/>
    <w:semiHidden/>
    <w:rsid w:val="00EF146C"/>
    <w:pPr>
      <w:numPr>
        <w:numId w:val="0"/>
      </w:numPr>
      <w:tabs>
        <w:tab w:val="right" w:leader="dot" w:pos="4176"/>
      </w:tabs>
    </w:pPr>
  </w:style>
  <w:style w:type="paragraph" w:styleId="ListNumber2">
    <w:name w:val="List Number 2"/>
    <w:basedOn w:val="List2"/>
    <w:rsid w:val="00EF146C"/>
    <w:pPr>
      <w:numPr>
        <w:numId w:val="10"/>
      </w:numPr>
      <w:tabs>
        <w:tab w:val="clear" w:pos="1060"/>
      </w:tabs>
    </w:pPr>
  </w:style>
  <w:style w:type="paragraph" w:customStyle="1" w:styleId="MarginNote">
    <w:name w:val="Margin Note"/>
    <w:basedOn w:val="BodyText"/>
    <w:rsid w:val="00EF1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46C"/>
    <w:rPr>
      <w:sz w:val="32"/>
    </w:rPr>
  </w:style>
  <w:style w:type="paragraph" w:customStyle="1" w:styleId="HeadingProcedure">
    <w:name w:val="Heading Procedure"/>
    <w:basedOn w:val="HeadingBase"/>
    <w:next w:val="Normal"/>
    <w:rsid w:val="00EF146C"/>
    <w:pPr>
      <w:tabs>
        <w:tab w:val="left" w:pos="0"/>
      </w:tabs>
      <w:spacing w:before="120" w:after="60"/>
    </w:pPr>
    <w:rPr>
      <w:i/>
      <w:color w:val="918585"/>
      <w:sz w:val="22"/>
    </w:rPr>
  </w:style>
  <w:style w:type="paragraph" w:customStyle="1" w:styleId="TableBodyText">
    <w:name w:val="Table Body Text"/>
    <w:basedOn w:val="BodyText"/>
    <w:rsid w:val="00EF146C"/>
    <w:pPr>
      <w:spacing w:before="60" w:after="60"/>
    </w:pPr>
  </w:style>
  <w:style w:type="paragraph" w:styleId="ListContinue">
    <w:name w:val="List Continue"/>
    <w:basedOn w:val="List"/>
    <w:rsid w:val="00EF146C"/>
    <w:pPr>
      <w:ind w:firstLine="0"/>
    </w:pPr>
  </w:style>
  <w:style w:type="paragraph" w:customStyle="1" w:styleId="ListNote">
    <w:name w:val="List Note"/>
    <w:basedOn w:val="List"/>
    <w:rsid w:val="00EF146C"/>
    <w:pPr>
      <w:pBdr>
        <w:top w:val="single" w:sz="6" w:space="2" w:color="918585"/>
        <w:bottom w:val="single" w:sz="6" w:space="2" w:color="918585"/>
      </w:pBdr>
      <w:tabs>
        <w:tab w:val="left" w:pos="1021"/>
      </w:tabs>
      <w:ind w:firstLine="0"/>
    </w:pPr>
  </w:style>
  <w:style w:type="paragraph" w:customStyle="1" w:styleId="Warning">
    <w:name w:val="Warning"/>
    <w:basedOn w:val="BodyText"/>
    <w:rsid w:val="00EF146C"/>
    <w:pPr>
      <w:shd w:val="clear" w:color="auto" w:fill="D9D9D9"/>
      <w:tabs>
        <w:tab w:val="left" w:pos="992"/>
      </w:tabs>
      <w:ind w:left="119" w:right="119"/>
    </w:pPr>
    <w:rPr>
      <w:sz w:val="20"/>
    </w:rPr>
  </w:style>
  <w:style w:type="paragraph" w:customStyle="1" w:styleId="MarginIcons">
    <w:name w:val="Margin Icons"/>
    <w:basedOn w:val="BodyText"/>
    <w:rsid w:val="00EF1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46C"/>
    <w:rPr>
      <w:rFonts w:ascii="Courier New" w:hAnsi="Courier New"/>
    </w:rPr>
  </w:style>
  <w:style w:type="paragraph" w:customStyle="1" w:styleId="NoteBullet">
    <w:name w:val="Note Bullet"/>
    <w:basedOn w:val="Note"/>
    <w:rsid w:val="00EF146C"/>
    <w:pPr>
      <w:tabs>
        <w:tab w:val="clear" w:pos="680"/>
      </w:tabs>
      <w:spacing w:before="60" w:after="60"/>
    </w:pPr>
  </w:style>
  <w:style w:type="paragraph" w:customStyle="1" w:styleId="SubHeading2">
    <w:name w:val="SubHeading2"/>
    <w:basedOn w:val="HeadingBase"/>
    <w:rsid w:val="00EF146C"/>
    <w:pPr>
      <w:spacing w:before="240" w:after="60"/>
    </w:pPr>
    <w:rPr>
      <w:sz w:val="20"/>
    </w:rPr>
  </w:style>
  <w:style w:type="paragraph" w:customStyle="1" w:styleId="SubHeading1">
    <w:name w:val="SubHeading1"/>
    <w:basedOn w:val="HeadingBase"/>
    <w:rsid w:val="00EF146C"/>
    <w:pPr>
      <w:spacing w:before="240" w:after="60"/>
    </w:pPr>
    <w:rPr>
      <w:color w:val="918585"/>
      <w:sz w:val="22"/>
    </w:rPr>
  </w:style>
  <w:style w:type="paragraph" w:customStyle="1" w:styleId="SideHeading">
    <w:name w:val="Side Heading"/>
    <w:basedOn w:val="HeadingBase"/>
    <w:rsid w:val="00EF1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46C"/>
    <w:pPr>
      <w:tabs>
        <w:tab w:val="num" w:pos="360"/>
      </w:tabs>
    </w:pPr>
  </w:style>
  <w:style w:type="paragraph" w:styleId="PlainText">
    <w:name w:val="Plain Text"/>
    <w:basedOn w:val="Normal"/>
    <w:link w:val="PlainTextChar"/>
    <w:rsid w:val="00EF146C"/>
    <w:rPr>
      <w:sz w:val="20"/>
    </w:rPr>
  </w:style>
  <w:style w:type="character" w:customStyle="1" w:styleId="PlainTextChar">
    <w:name w:val="Plain Text Char"/>
    <w:basedOn w:val="DefaultParagraphFont"/>
    <w:link w:val="PlainText"/>
    <w:rsid w:val="00EF146C"/>
    <w:rPr>
      <w:rFonts w:ascii="Courier New" w:eastAsia="Times New Roman" w:hAnsi="Courier New" w:cs="Times New Roman"/>
      <w:sz w:val="20"/>
      <w:szCs w:val="20"/>
      <w:lang w:eastAsia="en-US"/>
    </w:rPr>
  </w:style>
  <w:style w:type="character" w:customStyle="1" w:styleId="MenuOption">
    <w:name w:val="Menu Option"/>
    <w:basedOn w:val="DefaultParagraphFont"/>
    <w:rsid w:val="00EF146C"/>
    <w:rPr>
      <w:b/>
      <w:smallCaps/>
    </w:rPr>
  </w:style>
  <w:style w:type="paragraph" w:customStyle="1" w:styleId="TableListNumber">
    <w:name w:val="Table List Number"/>
    <w:basedOn w:val="ListNumber"/>
    <w:rsid w:val="00EF146C"/>
    <w:pPr>
      <w:numPr>
        <w:numId w:val="0"/>
      </w:numPr>
    </w:pPr>
  </w:style>
  <w:style w:type="paragraph" w:styleId="TOC4">
    <w:name w:val="toc 4"/>
    <w:basedOn w:val="TOCBase"/>
    <w:next w:val="Normal"/>
    <w:semiHidden/>
    <w:rsid w:val="00EF146C"/>
    <w:pPr>
      <w:tabs>
        <w:tab w:val="right" w:leader="dot" w:pos="9071"/>
      </w:tabs>
      <w:ind w:left="1701"/>
    </w:pPr>
  </w:style>
  <w:style w:type="paragraph" w:customStyle="1" w:styleId="ListAlpha">
    <w:name w:val="List Alpha"/>
    <w:basedOn w:val="List"/>
    <w:rsid w:val="00EF146C"/>
    <w:pPr>
      <w:numPr>
        <w:numId w:val="9"/>
      </w:numPr>
    </w:pPr>
  </w:style>
  <w:style w:type="paragraph" w:customStyle="1" w:styleId="ListAlpha2">
    <w:name w:val="List Alpha 2"/>
    <w:basedOn w:val="List2"/>
    <w:rsid w:val="00EF146C"/>
    <w:pPr>
      <w:numPr>
        <w:numId w:val="8"/>
      </w:numPr>
    </w:pPr>
  </w:style>
  <w:style w:type="paragraph" w:styleId="List2">
    <w:name w:val="List 2"/>
    <w:basedOn w:val="BodyText"/>
    <w:rsid w:val="00EF146C"/>
    <w:pPr>
      <w:tabs>
        <w:tab w:val="left" w:pos="680"/>
      </w:tabs>
      <w:spacing w:before="60" w:after="60"/>
      <w:ind w:left="680" w:hanging="340"/>
    </w:pPr>
  </w:style>
  <w:style w:type="paragraph" w:styleId="List3">
    <w:name w:val="List 3"/>
    <w:basedOn w:val="BodyText"/>
    <w:rsid w:val="00EF146C"/>
    <w:pPr>
      <w:tabs>
        <w:tab w:val="left" w:pos="1021"/>
      </w:tabs>
      <w:spacing w:before="60" w:after="60"/>
      <w:ind w:left="1020" w:hanging="340"/>
    </w:pPr>
  </w:style>
  <w:style w:type="paragraph" w:styleId="List4">
    <w:name w:val="List 4"/>
    <w:basedOn w:val="BodyText"/>
    <w:rsid w:val="00EF146C"/>
    <w:pPr>
      <w:tabs>
        <w:tab w:val="left" w:pos="1361"/>
      </w:tabs>
      <w:spacing w:before="60" w:after="60"/>
      <w:ind w:left="1361" w:hanging="340"/>
    </w:pPr>
  </w:style>
  <w:style w:type="paragraph" w:styleId="List5">
    <w:name w:val="List 5"/>
    <w:basedOn w:val="BodyText"/>
    <w:rsid w:val="00EF146C"/>
    <w:pPr>
      <w:tabs>
        <w:tab w:val="left" w:pos="1701"/>
      </w:tabs>
      <w:spacing w:before="60" w:after="60"/>
      <w:ind w:left="1701" w:hanging="340"/>
    </w:pPr>
  </w:style>
  <w:style w:type="paragraph" w:styleId="ListBullet3">
    <w:name w:val="List Bullet 3"/>
    <w:basedOn w:val="List3"/>
    <w:rsid w:val="00EF146C"/>
    <w:pPr>
      <w:numPr>
        <w:numId w:val="14"/>
      </w:numPr>
      <w:tabs>
        <w:tab w:val="clear" w:pos="1021"/>
      </w:tabs>
      <w:ind w:left="1037" w:hanging="357"/>
    </w:pPr>
  </w:style>
  <w:style w:type="paragraph" w:styleId="ListBullet4">
    <w:name w:val="List Bullet 4"/>
    <w:basedOn w:val="List4"/>
    <w:rsid w:val="00EF146C"/>
    <w:pPr>
      <w:numPr>
        <w:numId w:val="3"/>
      </w:numPr>
      <w:tabs>
        <w:tab w:val="clear" w:pos="1361"/>
      </w:tabs>
    </w:pPr>
  </w:style>
  <w:style w:type="paragraph" w:styleId="ListBullet5">
    <w:name w:val="List Bullet 5"/>
    <w:basedOn w:val="List5"/>
    <w:rsid w:val="00EF146C"/>
    <w:pPr>
      <w:numPr>
        <w:numId w:val="4"/>
      </w:numPr>
    </w:pPr>
  </w:style>
  <w:style w:type="paragraph" w:styleId="ListContinue2">
    <w:name w:val="List Continue 2"/>
    <w:basedOn w:val="List2"/>
    <w:rsid w:val="00EF146C"/>
    <w:pPr>
      <w:ind w:firstLine="0"/>
    </w:pPr>
  </w:style>
  <w:style w:type="paragraph" w:styleId="ListContinue3">
    <w:name w:val="List Continue 3"/>
    <w:basedOn w:val="List3"/>
    <w:rsid w:val="00EF146C"/>
    <w:pPr>
      <w:ind w:left="1021" w:firstLine="0"/>
    </w:pPr>
  </w:style>
  <w:style w:type="paragraph" w:styleId="ListContinue4">
    <w:name w:val="List Continue 4"/>
    <w:basedOn w:val="List4"/>
    <w:rsid w:val="00EF146C"/>
    <w:pPr>
      <w:ind w:firstLine="0"/>
    </w:pPr>
  </w:style>
  <w:style w:type="paragraph" w:styleId="ListContinue5">
    <w:name w:val="List Continue 5"/>
    <w:basedOn w:val="List5"/>
    <w:rsid w:val="00EF146C"/>
    <w:pPr>
      <w:ind w:firstLine="0"/>
    </w:pPr>
  </w:style>
  <w:style w:type="paragraph" w:styleId="ListNumber3">
    <w:name w:val="List Number 3"/>
    <w:basedOn w:val="List3"/>
    <w:rsid w:val="00EF146C"/>
    <w:pPr>
      <w:numPr>
        <w:numId w:val="5"/>
      </w:numPr>
    </w:pPr>
  </w:style>
  <w:style w:type="paragraph" w:styleId="ListNumber4">
    <w:name w:val="List Number 4"/>
    <w:basedOn w:val="List4"/>
    <w:rsid w:val="00EF146C"/>
    <w:pPr>
      <w:numPr>
        <w:numId w:val="6"/>
      </w:numPr>
    </w:pPr>
  </w:style>
  <w:style w:type="paragraph" w:styleId="ListNumber5">
    <w:name w:val="List Number 5"/>
    <w:basedOn w:val="List5"/>
    <w:rsid w:val="00EF146C"/>
    <w:pPr>
      <w:numPr>
        <w:numId w:val="7"/>
      </w:numPr>
    </w:pPr>
  </w:style>
  <w:style w:type="paragraph" w:styleId="BlockText">
    <w:name w:val="Block Text"/>
    <w:basedOn w:val="Normal"/>
    <w:rsid w:val="00EF146C"/>
    <w:pPr>
      <w:spacing w:after="120"/>
      <w:ind w:left="1440" w:right="1440"/>
    </w:pPr>
  </w:style>
  <w:style w:type="character" w:customStyle="1" w:styleId="Subscript">
    <w:name w:val="Subscript"/>
    <w:basedOn w:val="DefaultParagraphFont"/>
    <w:rsid w:val="00EF146C"/>
    <w:rPr>
      <w:sz w:val="16"/>
      <w:vertAlign w:val="subscript"/>
    </w:rPr>
  </w:style>
  <w:style w:type="character" w:customStyle="1" w:styleId="Superscript">
    <w:name w:val="Superscript"/>
    <w:basedOn w:val="DefaultParagraphFont"/>
    <w:rsid w:val="00EF146C"/>
    <w:rPr>
      <w:sz w:val="16"/>
      <w:vertAlign w:val="superscript"/>
    </w:rPr>
  </w:style>
  <w:style w:type="character" w:customStyle="1" w:styleId="Symbols">
    <w:name w:val="Symbols"/>
    <w:basedOn w:val="DefaultParagraphFont"/>
    <w:rsid w:val="00EF146C"/>
    <w:rPr>
      <w:rFonts w:ascii="Symbol" w:hAnsi="Symbol"/>
    </w:rPr>
  </w:style>
  <w:style w:type="character" w:customStyle="1" w:styleId="MenuOptions">
    <w:name w:val="Menu Options"/>
    <w:basedOn w:val="DefaultParagraphFont"/>
    <w:rsid w:val="00EF146C"/>
    <w:rPr>
      <w:rFonts w:ascii="Arial Narrow" w:hAnsi="Arial Narrow"/>
      <w:smallCaps/>
    </w:rPr>
  </w:style>
  <w:style w:type="character" w:customStyle="1" w:styleId="Buttons">
    <w:name w:val="Buttons"/>
    <w:basedOn w:val="DefaultParagraphFont"/>
    <w:rsid w:val="00EF146C"/>
    <w:rPr>
      <w:b/>
    </w:rPr>
  </w:style>
  <w:style w:type="character" w:customStyle="1" w:styleId="Underlined">
    <w:name w:val="Underlined"/>
    <w:basedOn w:val="DefaultParagraphFont"/>
    <w:rsid w:val="00EF146C"/>
    <w:rPr>
      <w:u w:val="single"/>
    </w:rPr>
  </w:style>
  <w:style w:type="paragraph" w:customStyle="1" w:styleId="TableBodyTextRight">
    <w:name w:val="Table Body Text Right"/>
    <w:basedOn w:val="TableBodyText"/>
    <w:rsid w:val="00EF146C"/>
    <w:pPr>
      <w:widowControl w:val="0"/>
      <w:autoSpaceDE w:val="0"/>
      <w:autoSpaceDN w:val="0"/>
      <w:adjustRightInd w:val="0"/>
      <w:jc w:val="right"/>
    </w:pPr>
    <w:rPr>
      <w:rFonts w:cs="Arial"/>
      <w:szCs w:val="18"/>
    </w:rPr>
  </w:style>
  <w:style w:type="paragraph" w:customStyle="1" w:styleId="CopyrightText">
    <w:name w:val="Copyright Text"/>
    <w:basedOn w:val="BodyText"/>
    <w:rsid w:val="00EF146C"/>
    <w:rPr>
      <w:sz w:val="18"/>
    </w:rPr>
  </w:style>
  <w:style w:type="paragraph" w:customStyle="1" w:styleId="BodySmallRight">
    <w:name w:val="Body Small Right"/>
    <w:basedOn w:val="BodyTextRight"/>
    <w:rsid w:val="00EF146C"/>
    <w:rPr>
      <w:sz w:val="18"/>
      <w:szCs w:val="18"/>
    </w:rPr>
  </w:style>
  <w:style w:type="paragraph" w:customStyle="1" w:styleId="MarginEdition">
    <w:name w:val="Margin Edition"/>
    <w:basedOn w:val="MarginNote"/>
    <w:rsid w:val="00EF146C"/>
    <w:pPr>
      <w:spacing w:before="0" w:after="0"/>
    </w:pPr>
    <w:rPr>
      <w:rFonts w:ascii="Times New Roman" w:hAnsi="Times New Roman"/>
      <w:color w:val="999999"/>
    </w:rPr>
  </w:style>
  <w:style w:type="paragraph" w:customStyle="1" w:styleId="Spacer">
    <w:name w:val="Spacer"/>
    <w:basedOn w:val="Normal"/>
    <w:rsid w:val="00EF146C"/>
    <w:rPr>
      <w:sz w:val="2"/>
      <w:szCs w:val="2"/>
    </w:rPr>
  </w:style>
  <w:style w:type="character" w:customStyle="1" w:styleId="Small">
    <w:name w:val="Small"/>
    <w:basedOn w:val="DefaultParagraphFont"/>
    <w:rsid w:val="00EF146C"/>
    <w:rPr>
      <w:sz w:val="16"/>
    </w:rPr>
  </w:style>
  <w:style w:type="paragraph" w:customStyle="1" w:styleId="WideTable">
    <w:name w:val="Wide Table"/>
    <w:basedOn w:val="Normal"/>
    <w:rsid w:val="00EF146C"/>
    <w:pPr>
      <w:ind w:left="-1418"/>
    </w:pPr>
    <w:rPr>
      <w:sz w:val="2"/>
      <w:szCs w:val="2"/>
    </w:rPr>
  </w:style>
  <w:style w:type="character" w:styleId="PageNumber">
    <w:name w:val="page number"/>
    <w:basedOn w:val="DefaultParagraphFont"/>
    <w:rsid w:val="00EF146C"/>
  </w:style>
  <w:style w:type="paragraph" w:styleId="Quote">
    <w:name w:val="Quote"/>
    <w:basedOn w:val="Heading1"/>
    <w:link w:val="QuoteChar"/>
    <w:qFormat/>
    <w:rsid w:val="00EF146C"/>
    <w:rPr>
      <w:b w:val="0"/>
      <w:sz w:val="72"/>
      <w:szCs w:val="72"/>
      <w:lang w:val="en-NZ"/>
    </w:rPr>
  </w:style>
  <w:style w:type="character" w:customStyle="1" w:styleId="QuoteChar">
    <w:name w:val="Quote Char"/>
    <w:basedOn w:val="DefaultParagraphFont"/>
    <w:link w:val="Quote"/>
    <w:rsid w:val="00EF1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46C"/>
    <w:pPr>
      <w:pageBreakBefore/>
    </w:pPr>
  </w:style>
  <w:style w:type="paragraph" w:customStyle="1" w:styleId="Border">
    <w:name w:val="Border"/>
    <w:basedOn w:val="Normal"/>
    <w:qFormat/>
    <w:rsid w:val="00EF1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46C"/>
    <w:rPr>
      <w:b/>
      <w:bCs/>
      <w:i/>
      <w:iCs/>
      <w:color w:val="auto"/>
    </w:rPr>
  </w:style>
  <w:style w:type="paragraph" w:styleId="IntenseQuote">
    <w:name w:val="Intense Quote"/>
    <w:basedOn w:val="Normal"/>
    <w:next w:val="Normal"/>
    <w:link w:val="IntenseQuoteChar"/>
    <w:uiPriority w:val="30"/>
    <w:qFormat/>
    <w:rsid w:val="00EF1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46C"/>
    <w:rPr>
      <w:smallCaps/>
      <w:color w:val="auto"/>
      <w:u w:val="single"/>
    </w:rPr>
  </w:style>
  <w:style w:type="character" w:styleId="IntenseReference">
    <w:name w:val="Intense Reference"/>
    <w:basedOn w:val="DefaultParagraphFont"/>
    <w:uiPriority w:val="32"/>
    <w:qFormat/>
    <w:rsid w:val="00EF146C"/>
    <w:rPr>
      <w:b/>
      <w:bCs/>
      <w:smallCaps/>
      <w:color w:val="auto"/>
      <w:spacing w:val="5"/>
      <w:u w:val="single"/>
    </w:rPr>
  </w:style>
  <w:style w:type="paragraph" w:customStyle="1" w:styleId="2ColumnHeading">
    <w:name w:val="2Column Heading"/>
    <w:basedOn w:val="BodyText"/>
    <w:qFormat/>
    <w:rsid w:val="00EF146C"/>
    <w:pPr>
      <w:spacing w:after="60"/>
      <w:ind w:left="-2268"/>
    </w:pPr>
    <w:rPr>
      <w:b/>
    </w:rPr>
  </w:style>
  <w:style w:type="paragraph" w:customStyle="1" w:styleId="Heading1TOC">
    <w:name w:val="Heading1 TOC"/>
    <w:basedOn w:val="Normal"/>
    <w:qFormat/>
    <w:rsid w:val="00EF146C"/>
    <w:pPr>
      <w:spacing w:before="240" w:after="120"/>
    </w:pPr>
    <w:rPr>
      <w:rFonts w:ascii="Times New Roman" w:hAnsi="Times New Roman"/>
      <w:b/>
      <w:sz w:val="32"/>
    </w:rPr>
  </w:style>
  <w:style w:type="paragraph" w:customStyle="1" w:styleId="Heading2TOC">
    <w:name w:val="Heading2 TOC"/>
    <w:basedOn w:val="Normal"/>
    <w:qFormat/>
    <w:rsid w:val="00EF146C"/>
    <w:pPr>
      <w:spacing w:before="240" w:after="60"/>
    </w:pPr>
    <w:rPr>
      <w:rFonts w:ascii="Times New Roman" w:hAnsi="Times New Roman"/>
      <w:b/>
      <w:sz w:val="28"/>
    </w:rPr>
  </w:style>
  <w:style w:type="character" w:customStyle="1" w:styleId="Underline">
    <w:name w:val="Underline"/>
    <w:basedOn w:val="DefaultParagraphFont"/>
    <w:qFormat/>
    <w:rsid w:val="00EF146C"/>
    <w:rPr>
      <w:u w:val="single"/>
    </w:rPr>
  </w:style>
  <w:style w:type="character" w:customStyle="1" w:styleId="BoldandItalics">
    <w:name w:val="Bold and Italics"/>
    <w:qFormat/>
    <w:rsid w:val="00EF146C"/>
    <w:rPr>
      <w:b/>
      <w:i/>
      <w:u w:val="none"/>
    </w:rPr>
  </w:style>
  <w:style w:type="paragraph" w:styleId="BalloonText">
    <w:name w:val="Balloon Text"/>
    <w:basedOn w:val="Normal"/>
    <w:link w:val="BalloonTextChar"/>
    <w:rsid w:val="00EF146C"/>
    <w:rPr>
      <w:rFonts w:ascii="Tahoma" w:hAnsi="Tahoma" w:cs="Tahoma"/>
      <w:sz w:val="16"/>
      <w:szCs w:val="16"/>
    </w:rPr>
  </w:style>
  <w:style w:type="character" w:customStyle="1" w:styleId="BalloonTextChar">
    <w:name w:val="Balloon Text Char"/>
    <w:basedOn w:val="DefaultParagraphFont"/>
    <w:link w:val="BalloonText"/>
    <w:rsid w:val="00EF1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46C"/>
    <w:rPr>
      <w:b/>
      <w:color w:val="660033"/>
      <w:spacing w:val="0"/>
    </w:rPr>
  </w:style>
  <w:style w:type="paragraph" w:customStyle="1" w:styleId="Nameditemlist">
    <w:name w:val="Named item list"/>
    <w:basedOn w:val="BodyText"/>
    <w:qFormat/>
    <w:rsid w:val="00EF146C"/>
    <w:pPr>
      <w:tabs>
        <w:tab w:val="left" w:pos="2835"/>
      </w:tabs>
      <w:ind w:left="2835" w:hanging="2835"/>
    </w:pPr>
  </w:style>
  <w:style w:type="paragraph" w:customStyle="1" w:styleId="BodyTextnopadding">
    <w:name w:val="Body Text no padding"/>
    <w:basedOn w:val="BodyText"/>
    <w:qFormat/>
    <w:rsid w:val="00EF146C"/>
    <w:pPr>
      <w:spacing w:before="0" w:after="0"/>
    </w:pPr>
  </w:style>
  <w:style w:type="paragraph" w:customStyle="1" w:styleId="BodyTextBold">
    <w:name w:val="Body Text Bold"/>
    <w:basedOn w:val="BodyText"/>
    <w:qFormat/>
    <w:rsid w:val="00EF146C"/>
    <w:rPr>
      <w:b/>
    </w:rPr>
  </w:style>
  <w:style w:type="character" w:styleId="Hyperlink">
    <w:name w:val="Hyperlink"/>
    <w:basedOn w:val="DefaultParagraphFont"/>
    <w:uiPriority w:val="99"/>
    <w:unhideWhenUsed/>
    <w:rsid w:val="00A96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7208</Characters>
  <Application>Microsoft Office Word</Application>
  <DocSecurity>0</DocSecurity>
  <Lines>205</Lines>
  <Paragraphs>130</Paragraphs>
  <ScaleCrop>false</ScaleCrop>
  <Company>Author-it Software Corporation Ltd.</Company>
  <LinksUpToDate>false</LinksUpToDate>
  <CharactersWithSpaces>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HLTENN054 Contribute to the registration eligibility and assessment of donors</dc:title>
  <dc:subject>Approved</dc:subject>
  <dc:creator>HumanAbility</dc:creator>
  <cp:keywords>Release: 2</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