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93A" w:rsidP="00BF6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HLTENN054 Contribute to the registration eligibility and assessment of donors</w:t>
      </w:r>
      <w:r>
        <w:fldChar w:fldCharType="end"/>
      </w:r>
    </w:p>
    <w:p w:rsidR="00BF693A" w:rsidP="00BF693A">
      <w:pPr>
        <w:pStyle w:val="Version"/>
        <w:sectPr w:rsidSect="000E3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31DB" w:rsidP="000E31DB">
      <w:pPr>
        <w:pStyle w:val="SuperHeading"/>
      </w:pPr>
      <w:r w:rsidRPr="000E31DB">
        <w:t>Assessment Requirements for HLTENN054 Contribute to the registration eligibility and assessment of donors</w:t>
      </w:r>
    </w:p>
    <w:p w:rsidR="00000000" w:rsidRPr="000E31DB" w:rsidP="000E31DB">
      <w:pPr>
        <w:pStyle w:val="Heading1"/>
      </w:pPr>
      <w:bookmarkStart w:id="1" w:name="O_1200625"/>
      <w:bookmarkEnd w:id="1"/>
      <w:r w:rsidRPr="000E31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0E3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31DB" w:rsidP="000E31DB">
            <w:pPr>
              <w:pStyle w:val="BodyText"/>
            </w:pPr>
            <w:r w:rsidRPr="000E31D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1DB">
            <w:pPr>
              <w:pStyle w:val="BodyText"/>
              <w:rPr>
                <w:lang w:val="en-NZ"/>
              </w:rPr>
            </w:pPr>
            <w:r w:rsidRPr="000E31DB">
              <w:rPr>
                <w:rStyle w:val="SpecialBold"/>
              </w:rPr>
              <w:t>Comments</w:t>
            </w:r>
          </w:p>
        </w:tc>
      </w:tr>
      <w:tr w:rsidTr="000E3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DB">
            <w:pPr>
              <w:pStyle w:val="BodyText"/>
              <w:rPr>
                <w:lang w:val="en-NZ"/>
              </w:rPr>
            </w:pPr>
            <w:r w:rsidRPr="000E31D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DB" w:rsidP="000E31DB">
            <w:pPr>
              <w:pStyle w:val="BodyText"/>
            </w:pPr>
            <w:r w:rsidRPr="000E31DB">
              <w:t>Release 2 HLTENN054 Contribute to the registration eligibility and assessment of donors supersedes and is equivalent to Release 1 HLTENN054 Contribute to the registration eligibility and assessment of donors.</w:t>
            </w:r>
          </w:p>
          <w:p w:rsidR="00000000" w:rsidRPr="000E31DB" w:rsidP="000E31DB">
            <w:pPr>
              <w:pStyle w:val="BodyText"/>
            </w:pPr>
            <w:r w:rsidRPr="000E31DB">
              <w:t>Updated:</w:t>
            </w:r>
          </w:p>
          <w:p w:rsidR="00000000" w:rsidP="000E31DB">
            <w:pPr>
              <w:pStyle w:val="BodyText"/>
              <w:rPr>
                <w:lang w:val="en-NZ"/>
              </w:rPr>
            </w:pPr>
            <w:r w:rsidRPr="000E31DB">
              <w:t>Mapping details and minor corrections.</w:t>
            </w:r>
          </w:p>
        </w:tc>
      </w:tr>
      <w:tr w:rsidTr="000E3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DB">
            <w:pPr>
              <w:pStyle w:val="BodyText"/>
              <w:rPr>
                <w:lang w:val="en-NZ"/>
              </w:rPr>
            </w:pPr>
            <w:r w:rsidRPr="000E31D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DB" w:rsidP="000E31DB">
            <w:pPr>
              <w:pStyle w:val="BodyText"/>
            </w:pPr>
            <w:r w:rsidRPr="000E31DB">
              <w:t>HLTENN054 Contribute to the registration eligibility and assessment of donors supersedes and is equivalent to HLTENN022 Contribute to the registration eligibility and assessment of donors.</w:t>
            </w:r>
          </w:p>
        </w:tc>
      </w:tr>
    </w:tbl>
    <w:p w:rsidR="00000000" w:rsidRPr="000E31DB" w:rsidP="000E31DB">
      <w:pPr>
        <w:pStyle w:val="BodyText"/>
      </w:pPr>
    </w:p>
    <w:p w:rsidR="00000000" w:rsidRPr="000E31DB" w:rsidP="000E31DB">
      <w:pPr>
        <w:pStyle w:val="AllowPageBreak"/>
      </w:pPr>
    </w:p>
    <w:p w:rsidR="00000000" w:rsidRPr="000E31DB" w:rsidP="000E31DB">
      <w:pPr>
        <w:pStyle w:val="Heading1"/>
      </w:pPr>
      <w:bookmarkStart w:id="2" w:name="O_1200624"/>
      <w:bookmarkEnd w:id="2"/>
      <w:r w:rsidRPr="000E31DB">
        <w:t>Performance Evidence</w:t>
      </w:r>
    </w:p>
    <w:p w:rsidR="00000000" w:rsidRPr="000E31DB" w:rsidP="00BF693A">
      <w:pPr>
        <w:pStyle w:val="BodyText"/>
      </w:pPr>
      <w:r w:rsidRPr="000E31DB">
        <w:t>Evidence of the ability to complete tasks outlined in elements and performance criteria of this unit in the context of the job role, and:</w:t>
      </w:r>
    </w:p>
    <w:p w:rsidR="00000000" w:rsidRPr="000E31DB" w:rsidP="000E31DB">
      <w:pPr>
        <w:pStyle w:val="ListBullet"/>
      </w:pPr>
      <w:r w:rsidRPr="000E31DB">
        <w:t>register and assess three people as donors for blood or blood products</w:t>
      </w:r>
    </w:p>
    <w:p w:rsidR="00BF693A" w:rsidP="00BF693A">
      <w:pPr>
        <w:pStyle w:val="BodyText"/>
      </w:pPr>
      <w:r w:rsidRPr="000E31DB">
        <w:t>The tasks must be undertaken in accordance wit</w:t>
      </w:r>
      <w:r w:rsidRPr="000E31DB">
        <w:t>h the Nursing and Midwifery Board of Australia (NMBA) professional practice standards, codes and guidelines.</w:t>
      </w:r>
    </w:p>
    <w:p w:rsidR="00000000" w:rsidRPr="000E31DB" w:rsidP="000E31DB">
      <w:pPr>
        <w:pStyle w:val="Heading1"/>
      </w:pPr>
      <w:bookmarkStart w:id="3" w:name="O_1200623"/>
      <w:bookmarkEnd w:id="3"/>
      <w:r w:rsidRPr="000E31DB">
        <w:t>Knowledge Evidence</w:t>
      </w:r>
    </w:p>
    <w:p w:rsidR="00000000" w:rsidRPr="000E31DB" w:rsidP="00BF693A">
      <w:pPr>
        <w:pStyle w:val="BodyText"/>
      </w:pPr>
      <w:r w:rsidRPr="000E31DB">
        <w:t>Demonstrate knowledge required to complete tasks outlined in elements and performance criteria of this unit:</w:t>
      </w:r>
    </w:p>
    <w:p w:rsidR="00000000" w:rsidRPr="000E31DB" w:rsidP="000E31DB">
      <w:pPr>
        <w:pStyle w:val="ListBullet"/>
      </w:pPr>
      <w:r w:rsidRPr="000E31DB">
        <w:t xml:space="preserve">apheresis </w:t>
      </w:r>
    </w:p>
    <w:p w:rsidR="00000000" w:rsidRPr="000E31DB" w:rsidP="000E31DB">
      <w:pPr>
        <w:pStyle w:val="ListBullet"/>
      </w:pPr>
      <w:r w:rsidRPr="000E31DB">
        <w:t>organisational policies and procedures relevant to blood donors</w:t>
      </w:r>
    </w:p>
    <w:p w:rsidR="00000000" w:rsidRPr="000E31DB" w:rsidP="000E31DB">
      <w:pPr>
        <w:pStyle w:val="ListBullet"/>
      </w:pPr>
      <w:r w:rsidRPr="000E31DB">
        <w:t>documentation and components of donor declaration form</w:t>
      </w:r>
    </w:p>
    <w:p w:rsidR="00000000" w:rsidRPr="000E31DB" w:rsidP="000E31DB">
      <w:pPr>
        <w:pStyle w:val="ListBullet"/>
      </w:pPr>
      <w:r w:rsidRPr="000E31DB">
        <w:t>importance and potential impact of the quality of the donation, and the reasons for careful selection of donors of blood and</w:t>
      </w:r>
      <w:r w:rsidRPr="000E31DB">
        <w:t xml:space="preserve"> blood components:</w:t>
      </w:r>
    </w:p>
    <w:p w:rsidR="00000000" w:rsidRPr="000E31DB" w:rsidP="000E31DB">
      <w:pPr>
        <w:pStyle w:val="ListBullet2"/>
      </w:pPr>
      <w:r w:rsidRPr="000E31DB">
        <w:t>infectious diseases and incubation periods</w:t>
      </w:r>
    </w:p>
    <w:p w:rsidR="00000000" w:rsidRPr="000E31DB" w:rsidP="000E31DB">
      <w:pPr>
        <w:pStyle w:val="ListBullet2"/>
      </w:pPr>
      <w:r w:rsidRPr="000E31DB">
        <w:t>age, height and weight</w:t>
      </w:r>
    </w:p>
    <w:p w:rsidR="00000000" w:rsidRPr="000E31DB" w:rsidP="000E31DB">
      <w:pPr>
        <w:pStyle w:val="ListBullet2"/>
      </w:pPr>
      <w:r w:rsidRPr="000E31DB">
        <w:t>health of donor including recent surgery, invasive procedures, immunisations, injury and illness</w:t>
      </w:r>
    </w:p>
    <w:p w:rsidR="00000000" w:rsidRPr="000E31DB" w:rsidP="000E31DB">
      <w:pPr>
        <w:pStyle w:val="ListBullet2"/>
      </w:pPr>
      <w:r w:rsidRPr="000E31DB">
        <w:t>family health history</w:t>
      </w:r>
    </w:p>
    <w:p w:rsidR="00000000" w:rsidRPr="000E31DB" w:rsidP="000E31DB">
      <w:pPr>
        <w:pStyle w:val="ListBullet2"/>
      </w:pPr>
      <w:r w:rsidRPr="000E31DB">
        <w:t>frequency of donation</w:t>
      </w:r>
    </w:p>
    <w:p w:rsidR="00000000" w:rsidRPr="000E31DB" w:rsidP="000E31DB">
      <w:pPr>
        <w:pStyle w:val="ListBullet2"/>
      </w:pPr>
      <w:r w:rsidRPr="000E31DB">
        <w:t>geographical locations prior to donation which require special consideration</w:t>
      </w:r>
    </w:p>
    <w:p w:rsidR="00000000" w:rsidRPr="000E31DB" w:rsidP="000E31DB">
      <w:pPr>
        <w:pStyle w:val="ListBullet2"/>
      </w:pPr>
      <w:r w:rsidRPr="000E31DB">
        <w:t>lifestyle</w:t>
      </w:r>
    </w:p>
    <w:p w:rsidR="00000000" w:rsidRPr="000E31DB" w:rsidP="000E31DB">
      <w:pPr>
        <w:pStyle w:val="ListBullet2"/>
      </w:pPr>
      <w:r w:rsidRPr="000E31DB">
        <w:t>medications</w:t>
      </w:r>
    </w:p>
    <w:p w:rsidR="00000000" w:rsidRPr="000E31DB" w:rsidP="000E31DB">
      <w:pPr>
        <w:pStyle w:val="ListBullet2"/>
      </w:pPr>
      <w:r w:rsidRPr="000E31DB">
        <w:t>occupational activities that are considered hazardous</w:t>
      </w:r>
    </w:p>
    <w:p w:rsidR="00000000" w:rsidRPr="000E31DB" w:rsidP="000E31DB">
      <w:pPr>
        <w:pStyle w:val="ListBullet2"/>
      </w:pPr>
      <w:r w:rsidRPr="000E31DB">
        <w:t>recreational activities that are considered hazardous</w:t>
      </w:r>
    </w:p>
    <w:p w:rsidR="00000000" w:rsidRPr="000E31DB" w:rsidP="000E31DB">
      <w:pPr>
        <w:pStyle w:val="ListBullet2"/>
      </w:pPr>
      <w:r w:rsidRPr="000E31DB">
        <w:t>workers compensation</w:t>
      </w:r>
    </w:p>
    <w:p w:rsidR="00000000" w:rsidRPr="000E31DB" w:rsidP="000E31DB">
      <w:pPr>
        <w:pStyle w:val="ListBullet2"/>
      </w:pPr>
      <w:r w:rsidRPr="000E31DB">
        <w:t>safety of blood supply</w:t>
      </w:r>
    </w:p>
    <w:p w:rsidR="00000000" w:rsidRPr="000E31DB" w:rsidP="000E31DB">
      <w:pPr>
        <w:pStyle w:val="ListBullet2"/>
      </w:pPr>
      <w:r w:rsidRPr="000E31DB">
        <w:t>safet</w:t>
      </w:r>
      <w:r w:rsidRPr="000E31DB">
        <w:t>y of recipients</w:t>
      </w:r>
    </w:p>
    <w:p w:rsidR="00000000" w:rsidRPr="000E31DB" w:rsidP="000E31DB">
      <w:pPr>
        <w:pStyle w:val="ListBullet2"/>
      </w:pPr>
      <w:r w:rsidRPr="000E31DB">
        <w:t>safety of service provided to customers</w:t>
      </w:r>
    </w:p>
    <w:p w:rsidR="00000000" w:rsidRPr="000E31DB" w:rsidP="000E31DB">
      <w:pPr>
        <w:pStyle w:val="ListBullet2"/>
      </w:pPr>
      <w:r w:rsidRPr="000E31DB">
        <w:t>safety of staff</w:t>
      </w:r>
    </w:p>
    <w:p w:rsidR="00000000" w:rsidRPr="000E31DB" w:rsidP="000E31DB">
      <w:pPr>
        <w:pStyle w:val="ListBullet2"/>
      </w:pPr>
      <w:r w:rsidRPr="000E31DB">
        <w:t>production of a quality product</w:t>
      </w:r>
    </w:p>
    <w:p w:rsidR="00000000" w:rsidRPr="000E31DB" w:rsidP="000E31DB">
      <w:pPr>
        <w:pStyle w:val="ListBullet"/>
      </w:pPr>
      <w:r w:rsidRPr="000E31DB">
        <w:t>types of donations:</w:t>
      </w:r>
    </w:p>
    <w:p w:rsidR="00000000" w:rsidRPr="000E31DB" w:rsidP="000E31DB">
      <w:pPr>
        <w:pStyle w:val="ListBullet2"/>
      </w:pPr>
      <w:r w:rsidRPr="000E31DB">
        <w:t>plasma</w:t>
      </w:r>
    </w:p>
    <w:p w:rsidR="00000000" w:rsidRPr="000E31DB" w:rsidP="000E31DB">
      <w:pPr>
        <w:pStyle w:val="ListBullet2"/>
      </w:pPr>
      <w:r w:rsidRPr="000E31DB">
        <w:t>platelet</w:t>
      </w:r>
    </w:p>
    <w:p w:rsidR="00000000" w:rsidRPr="000E31DB" w:rsidP="000E31DB">
      <w:pPr>
        <w:pStyle w:val="ListBullet2"/>
      </w:pPr>
      <w:r w:rsidRPr="000E31DB">
        <w:t>red blood cell plasma</w:t>
      </w:r>
    </w:p>
    <w:p w:rsidR="00000000" w:rsidRPr="000E31DB" w:rsidP="000E31DB">
      <w:pPr>
        <w:pStyle w:val="ListBullet"/>
      </w:pPr>
      <w:r w:rsidRPr="000E31DB">
        <w:t>purpose and use of apheresis donations including timeframe requirements</w:t>
      </w:r>
    </w:p>
    <w:p w:rsidR="00000000" w:rsidRPr="000E31DB" w:rsidP="000E31DB">
      <w:pPr>
        <w:pStyle w:val="ListBullet"/>
      </w:pPr>
      <w:r w:rsidRPr="000E31DB">
        <w:t>purpose and use</w:t>
      </w:r>
      <w:r w:rsidRPr="000E31DB">
        <w:t xml:space="preserve"> of blood and blood products, including types and functions of infusion and transfusion</w:t>
      </w:r>
    </w:p>
    <w:p w:rsidR="00000000" w:rsidRPr="000E31DB" w:rsidP="000E31DB">
      <w:pPr>
        <w:pStyle w:val="ListBullet"/>
      </w:pPr>
      <w:r w:rsidRPr="000E31DB">
        <w:t>safe disposal, and minimisation of waste of resources resulting from collection of unsuitable donations</w:t>
      </w:r>
    </w:p>
    <w:p w:rsidR="00000000" w:rsidRPr="000E31DB" w:rsidP="000E31DB">
      <w:pPr>
        <w:pStyle w:val="ListBullet"/>
      </w:pPr>
      <w:r w:rsidRPr="000E31DB">
        <w:t>World Health Organization (WHO) guidelines:</w:t>
      </w:r>
    </w:p>
    <w:p w:rsidR="00000000" w:rsidRPr="000E31DB" w:rsidP="000E31DB">
      <w:pPr>
        <w:pStyle w:val="ListBullet2"/>
      </w:pPr>
      <w:r w:rsidRPr="000E31DB">
        <w:t xml:space="preserve">selection of blood </w:t>
      </w:r>
      <w:r w:rsidRPr="000E31DB">
        <w:t>donors</w:t>
      </w:r>
    </w:p>
    <w:p w:rsidR="00000000" w:rsidRPr="000E31DB" w:rsidP="000E31DB">
      <w:pPr>
        <w:pStyle w:val="ListBullet2"/>
      </w:pPr>
      <w:r w:rsidRPr="000E31DB">
        <w:t>international travel and health vaccination requirements</w:t>
      </w:r>
    </w:p>
    <w:p w:rsidR="00000000" w:rsidRPr="000E31DB" w:rsidP="000E31DB">
      <w:pPr>
        <w:pStyle w:val="ListBullet"/>
      </w:pPr>
      <w:r w:rsidRPr="000E31DB">
        <w:t>Australian Code of Good Manufacturing Practice (GMP) for Blood and Blood Components, Human Tissues and Human Cellular Therapy Products</w:t>
      </w:r>
    </w:p>
    <w:p w:rsidR="00000000" w:rsidRPr="000E31DB" w:rsidP="000E31DB">
      <w:pPr>
        <w:pStyle w:val="ListBullet"/>
      </w:pPr>
      <w:r w:rsidRPr="000E31DB">
        <w:t>Australian Red Cross service for blood and blood product</w:t>
      </w:r>
      <w:r w:rsidRPr="000E31DB">
        <w:t>s donations</w:t>
      </w:r>
    </w:p>
    <w:p w:rsidR="00000000" w:rsidRPr="000E31DB" w:rsidP="000E31DB">
      <w:pPr>
        <w:pStyle w:val="ListBullet"/>
      </w:pPr>
      <w:r w:rsidRPr="000E31DB">
        <w:t>Monthly Index of Medical Specialities (MIMS)</w:t>
      </w:r>
    </w:p>
    <w:p w:rsidR="00000000" w:rsidRPr="000E31DB" w:rsidP="000E31DB">
      <w:pPr>
        <w:pStyle w:val="ListBullet"/>
      </w:pPr>
      <w:r w:rsidRPr="000E31DB">
        <w:t>National Blood Transfusion Committee (NBTC).</w:t>
      </w:r>
    </w:p>
    <w:p w:rsidR="00000000" w:rsidRPr="000E31DB" w:rsidP="000E31DB">
      <w:pPr>
        <w:pStyle w:val="AllowPageBreak"/>
      </w:pPr>
    </w:p>
    <w:p w:rsidR="00000000" w:rsidRPr="000E31DB" w:rsidP="000E31DB">
      <w:pPr>
        <w:pStyle w:val="Heading1"/>
      </w:pPr>
      <w:bookmarkStart w:id="4" w:name="O_1200622"/>
      <w:bookmarkEnd w:id="4"/>
      <w:r w:rsidRPr="000E31DB">
        <w:t>Assessment Conditions</w:t>
      </w:r>
    </w:p>
    <w:p w:rsidR="00000000" w:rsidRPr="000E31DB" w:rsidP="00BF693A">
      <w:pPr>
        <w:pStyle w:val="BodyText"/>
      </w:pPr>
      <w:r w:rsidRPr="000E31DB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0E31DB">
        <w:t xml:space="preserve">ved program of study’ by the Nursing and Midwifery Board of Australia (NMBA) in accordance with the Enrolled Nurse Accreditation Standards. </w:t>
      </w:r>
    </w:p>
    <w:p w:rsidR="00000000" w:rsidRPr="000E31DB" w:rsidP="00BF693A">
      <w:pPr>
        <w:pStyle w:val="BodyText"/>
      </w:pPr>
      <w:r w:rsidRPr="000E31DB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A973A6">
        <w:rPr>
          <w:rStyle w:val="Hyperlink"/>
        </w:rPr>
        <w:t>https://www.ahpra.gov.au</w:t>
      </w:r>
      <w:r>
        <w:fldChar w:fldCharType="end"/>
      </w:r>
      <w:r w:rsidRPr="000E31DB">
        <w:t xml:space="preserve">.  </w:t>
      </w:r>
    </w:p>
    <w:p w:rsidR="00000000" w:rsidRPr="000E31DB" w:rsidP="00BF693A">
      <w:pPr>
        <w:pStyle w:val="BodyText"/>
      </w:pPr>
      <w:r w:rsidRPr="000E31DB">
        <w:t>Skills must be demonstrated in the workplace or in a simulated en</w:t>
      </w:r>
      <w:r w:rsidRPr="000E31DB">
        <w:t>vironment as specified in the performance evidence that model industry operating conditions including access to real people for simulations and scenarios in enrolled nursing work.</w:t>
      </w:r>
    </w:p>
    <w:p w:rsidR="00000000" w:rsidRPr="000E31DB" w:rsidP="00BF693A">
      <w:pPr>
        <w:pStyle w:val="BodyText"/>
      </w:pPr>
      <w:r w:rsidRPr="000E31DB">
        <w:t xml:space="preserve">Assessors must satisfy the Standards for Registered Training Organisations’ </w:t>
      </w:r>
      <w:r w:rsidRPr="000E31DB">
        <w:t>requirements for assessors.</w:t>
      </w:r>
    </w:p>
    <w:p w:rsidR="00000000" w:rsidRPr="000E31DB" w:rsidP="00BF693A">
      <w:pPr>
        <w:pStyle w:val="BodyText"/>
      </w:pPr>
      <w:r w:rsidRPr="000E31DB">
        <w:t>Assessors must also hold current registration as a registered nurse with the Nursing and Midwifery Board of Australia (NMBA).</w:t>
      </w:r>
    </w:p>
    <w:p w:rsidR="00000000" w:rsidRPr="000E31DB" w:rsidP="000E31DB">
      <w:pPr>
        <w:pStyle w:val="Heading1"/>
      </w:pPr>
      <w:bookmarkStart w:id="5" w:name="O_1200636"/>
      <w:bookmarkEnd w:id="5"/>
      <w:r w:rsidRPr="000E31DB">
        <w:t>Links</w:t>
      </w:r>
    </w:p>
    <w:p w:rsidR="00000000" w:rsidRPr="000E31DB" w:rsidP="00BF693A">
      <w:pPr>
        <w:pStyle w:val="BodyText"/>
      </w:pPr>
      <w:r w:rsidRPr="000E31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973A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E31DB" w:rsidP="000E31DB"/>
    <w:sectPr w:rsidSect="000E31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DB" w:rsidRPr="00BF693A" w:rsidP="00BF6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3A" w:rsidP="000E3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93A" w:rsidP="000E3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693A" w:rsidP="000E3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1DB" w:rsidRPr="00BF693A" w:rsidP="00BF6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93A" w:rsidRPr="002D2AF8" w:rsidP="000E3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HLTENN054 Contribute to the registration eligibility and assessment of donors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F693A" w:rsidP="000E3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80D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7E6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809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1DB"/>
  </w:style>
  <w:style w:type="character" w:customStyle="1" w:styleId="Heading1Char">
    <w:name w:val="Heading 1 Char"/>
    <w:basedOn w:val="DefaultParagraphFont"/>
    <w:link w:val="Heading1"/>
    <w:rsid w:val="000E3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1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1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1DB"/>
    <w:rPr>
      <w:b/>
      <w:spacing w:val="0"/>
    </w:rPr>
  </w:style>
  <w:style w:type="paragraph" w:styleId="ListBullet2">
    <w:name w:val="List Bullet 2"/>
    <w:basedOn w:val="List2"/>
    <w:rsid w:val="000E31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3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1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3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1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1DB"/>
    <w:rPr>
      <w:i/>
    </w:rPr>
  </w:style>
  <w:style w:type="paragraph" w:styleId="Caption">
    <w:name w:val="caption"/>
    <w:basedOn w:val="BodyText"/>
    <w:next w:val="Normal"/>
    <w:qFormat/>
    <w:rsid w:val="000E3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1DB"/>
  </w:style>
  <w:style w:type="paragraph" w:styleId="TableofFigures">
    <w:name w:val="table of figures"/>
    <w:basedOn w:val="Normal"/>
    <w:next w:val="Normal"/>
    <w:semiHidden/>
    <w:rsid w:val="000E3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1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31DB"/>
    <w:rPr>
      <w:rFonts w:ascii="Wingdings" w:hAnsi="Wingdings"/>
    </w:rPr>
  </w:style>
  <w:style w:type="paragraph" w:customStyle="1" w:styleId="TableHeading">
    <w:name w:val="Table Heading"/>
    <w:basedOn w:val="HeadingBase"/>
    <w:rsid w:val="000E3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1DB"/>
    <w:rPr>
      <w:color w:val="0033CC"/>
      <w:u w:val="none"/>
    </w:rPr>
  </w:style>
  <w:style w:type="paragraph" w:customStyle="1" w:styleId="BodyTextRight">
    <w:name w:val="Body Text Right"/>
    <w:basedOn w:val="BodyText"/>
    <w:rsid w:val="000E3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1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1DB"/>
    <w:rPr>
      <w:sz w:val="32"/>
    </w:rPr>
  </w:style>
  <w:style w:type="paragraph" w:customStyle="1" w:styleId="HeadingProcedure">
    <w:name w:val="Heading Procedure"/>
    <w:basedOn w:val="HeadingBase"/>
    <w:next w:val="Normal"/>
    <w:rsid w:val="000E3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1DB"/>
    <w:pPr>
      <w:spacing w:before="60" w:after="60"/>
    </w:pPr>
  </w:style>
  <w:style w:type="paragraph" w:styleId="ListContinue">
    <w:name w:val="List Continue"/>
    <w:basedOn w:val="List"/>
    <w:rsid w:val="000E31DB"/>
    <w:pPr>
      <w:ind w:firstLine="0"/>
    </w:pPr>
  </w:style>
  <w:style w:type="paragraph" w:customStyle="1" w:styleId="ListNote">
    <w:name w:val="List Note"/>
    <w:basedOn w:val="List"/>
    <w:rsid w:val="000E3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1DB"/>
    <w:rPr>
      <w:rFonts w:ascii="Courier New" w:hAnsi="Courier New"/>
    </w:rPr>
  </w:style>
  <w:style w:type="paragraph" w:customStyle="1" w:styleId="NoteBullet">
    <w:name w:val="Note Bullet"/>
    <w:basedOn w:val="Note"/>
    <w:rsid w:val="000E3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1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3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1DB"/>
    <w:rPr>
      <w:b/>
      <w:smallCaps/>
    </w:rPr>
  </w:style>
  <w:style w:type="paragraph" w:customStyle="1" w:styleId="TableListNumber">
    <w:name w:val="Table List Number"/>
    <w:basedOn w:val="ListNumber"/>
    <w:rsid w:val="000E3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1DB"/>
    <w:pPr>
      <w:numPr>
        <w:numId w:val="9"/>
      </w:numPr>
    </w:pPr>
  </w:style>
  <w:style w:type="paragraph" w:customStyle="1" w:styleId="ListAlpha2">
    <w:name w:val="List Alpha 2"/>
    <w:basedOn w:val="List2"/>
    <w:rsid w:val="000E31DB"/>
    <w:pPr>
      <w:numPr>
        <w:numId w:val="8"/>
      </w:numPr>
    </w:pPr>
  </w:style>
  <w:style w:type="paragraph" w:styleId="List2">
    <w:name w:val="List 2"/>
    <w:basedOn w:val="BodyText"/>
    <w:rsid w:val="000E3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1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1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31DB"/>
    <w:pPr>
      <w:numPr>
        <w:numId w:val="4"/>
      </w:numPr>
    </w:pPr>
  </w:style>
  <w:style w:type="paragraph" w:styleId="ListContinue2">
    <w:name w:val="List Continue 2"/>
    <w:basedOn w:val="List2"/>
    <w:rsid w:val="000E31DB"/>
    <w:pPr>
      <w:ind w:firstLine="0"/>
    </w:pPr>
  </w:style>
  <w:style w:type="paragraph" w:styleId="ListContinue3">
    <w:name w:val="List Continue 3"/>
    <w:basedOn w:val="List3"/>
    <w:rsid w:val="000E31DB"/>
    <w:pPr>
      <w:ind w:left="1021" w:firstLine="0"/>
    </w:pPr>
  </w:style>
  <w:style w:type="paragraph" w:styleId="ListContinue4">
    <w:name w:val="List Continue 4"/>
    <w:basedOn w:val="List4"/>
    <w:rsid w:val="000E31DB"/>
    <w:pPr>
      <w:ind w:firstLine="0"/>
    </w:pPr>
  </w:style>
  <w:style w:type="paragraph" w:styleId="ListContinue5">
    <w:name w:val="List Continue 5"/>
    <w:basedOn w:val="List5"/>
    <w:rsid w:val="000E31DB"/>
    <w:pPr>
      <w:ind w:firstLine="0"/>
    </w:pPr>
  </w:style>
  <w:style w:type="paragraph" w:styleId="ListNumber3">
    <w:name w:val="List Number 3"/>
    <w:basedOn w:val="List3"/>
    <w:rsid w:val="000E31DB"/>
    <w:pPr>
      <w:numPr>
        <w:numId w:val="5"/>
      </w:numPr>
    </w:pPr>
  </w:style>
  <w:style w:type="paragraph" w:styleId="ListNumber4">
    <w:name w:val="List Number 4"/>
    <w:basedOn w:val="List4"/>
    <w:rsid w:val="000E31DB"/>
    <w:pPr>
      <w:numPr>
        <w:numId w:val="6"/>
      </w:numPr>
    </w:pPr>
  </w:style>
  <w:style w:type="paragraph" w:styleId="ListNumber5">
    <w:name w:val="List Number 5"/>
    <w:basedOn w:val="List5"/>
    <w:rsid w:val="000E31DB"/>
    <w:pPr>
      <w:numPr>
        <w:numId w:val="7"/>
      </w:numPr>
    </w:pPr>
  </w:style>
  <w:style w:type="paragraph" w:styleId="BlockText">
    <w:name w:val="Block Text"/>
    <w:basedOn w:val="Normal"/>
    <w:rsid w:val="000E3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1DB"/>
    <w:rPr>
      <w:sz w:val="16"/>
      <w:vertAlign w:val="superscript"/>
    </w:rPr>
  </w:style>
  <w:style w:type="character" w:customStyle="1" w:styleId="Symbols">
    <w:name w:val="Symbols"/>
    <w:basedOn w:val="DefaultParagraphFont"/>
    <w:rsid w:val="000E31DB"/>
    <w:rPr>
      <w:rFonts w:ascii="Symbol" w:hAnsi="Symbol"/>
    </w:rPr>
  </w:style>
  <w:style w:type="character" w:customStyle="1" w:styleId="MenuOptions">
    <w:name w:val="Menu Options"/>
    <w:basedOn w:val="DefaultParagraphFont"/>
    <w:rsid w:val="000E3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1DB"/>
    <w:rPr>
      <w:b/>
    </w:rPr>
  </w:style>
  <w:style w:type="character" w:customStyle="1" w:styleId="Underlined">
    <w:name w:val="Underlined"/>
    <w:basedOn w:val="DefaultParagraphFont"/>
    <w:rsid w:val="000E31DB"/>
    <w:rPr>
      <w:u w:val="single"/>
    </w:rPr>
  </w:style>
  <w:style w:type="paragraph" w:customStyle="1" w:styleId="TableBodyTextRight">
    <w:name w:val="Table Body Text Right"/>
    <w:basedOn w:val="TableBodyText"/>
    <w:rsid w:val="000E3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1DB"/>
    <w:rPr>
      <w:sz w:val="18"/>
    </w:rPr>
  </w:style>
  <w:style w:type="paragraph" w:customStyle="1" w:styleId="BodySmallRight">
    <w:name w:val="Body Small Right"/>
    <w:basedOn w:val="BodyTextRight"/>
    <w:rsid w:val="000E31DB"/>
    <w:rPr>
      <w:sz w:val="18"/>
      <w:szCs w:val="18"/>
    </w:rPr>
  </w:style>
  <w:style w:type="paragraph" w:customStyle="1" w:styleId="MarginEdition">
    <w:name w:val="Margin Edition"/>
    <w:basedOn w:val="MarginNote"/>
    <w:rsid w:val="000E3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1DB"/>
    <w:rPr>
      <w:sz w:val="2"/>
      <w:szCs w:val="2"/>
    </w:rPr>
  </w:style>
  <w:style w:type="character" w:customStyle="1" w:styleId="Small">
    <w:name w:val="Small"/>
    <w:basedOn w:val="DefaultParagraphFont"/>
    <w:rsid w:val="000E31DB"/>
    <w:rPr>
      <w:sz w:val="16"/>
    </w:rPr>
  </w:style>
  <w:style w:type="paragraph" w:customStyle="1" w:styleId="WideTable">
    <w:name w:val="Wide Table"/>
    <w:basedOn w:val="Normal"/>
    <w:rsid w:val="000E3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1DB"/>
  </w:style>
  <w:style w:type="paragraph" w:styleId="Quote">
    <w:name w:val="Quote"/>
    <w:basedOn w:val="Heading1"/>
    <w:link w:val="QuoteChar"/>
    <w:qFormat/>
    <w:rsid w:val="000E3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1DB"/>
    <w:pPr>
      <w:pageBreakBefore/>
    </w:pPr>
  </w:style>
  <w:style w:type="paragraph" w:customStyle="1" w:styleId="Border">
    <w:name w:val="Border"/>
    <w:basedOn w:val="Normal"/>
    <w:qFormat/>
    <w:rsid w:val="000E3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1DB"/>
    <w:rPr>
      <w:u w:val="single"/>
    </w:rPr>
  </w:style>
  <w:style w:type="character" w:customStyle="1" w:styleId="BoldandItalics">
    <w:name w:val="Bold and Italics"/>
    <w:qFormat/>
    <w:rsid w:val="000E31DB"/>
    <w:rPr>
      <w:b/>
      <w:i/>
      <w:u w:val="none"/>
    </w:rPr>
  </w:style>
  <w:style w:type="paragraph" w:styleId="BalloonText">
    <w:name w:val="Balloon Text"/>
    <w:basedOn w:val="Normal"/>
    <w:link w:val="BalloonTextChar"/>
    <w:rsid w:val="000E3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1DB"/>
    <w:pPr>
      <w:spacing w:before="0" w:after="0"/>
    </w:pPr>
  </w:style>
  <w:style w:type="paragraph" w:customStyle="1" w:styleId="BodyTextBold">
    <w:name w:val="Body Text Bold"/>
    <w:basedOn w:val="BodyText"/>
    <w:qFormat/>
    <w:rsid w:val="000E31DB"/>
    <w:rPr>
      <w:b/>
    </w:rPr>
  </w:style>
  <w:style w:type="character" w:styleId="Hyperlink">
    <w:name w:val="Hyperlink"/>
    <w:basedOn w:val="DefaultParagraphFont"/>
    <w:uiPriority w:val="99"/>
    <w:unhideWhenUsed/>
    <w:rsid w:val="00BF6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3593</Characters>
  <Application>Microsoft Office Word</Application>
  <DocSecurity>0</DocSecurity>
  <Lines>97</Lines>
  <Paragraphs>71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HLTENN054 Contribute to the registration eligibility and assessment of donors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2023-07-02T01:29:00Z</dcterms:created>
  <dcterms:modified xsi:type="dcterms:W3CDTF">2023-07-02T01:29:00Z</dcterms:modified>
</cp:coreProperties>
</file>