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7EF" w:rsidP="002E5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HLTENN051 Apply nursing practice in sexual and reproductive health care</w:t>
      </w:r>
      <w:r>
        <w:fldChar w:fldCharType="end"/>
      </w:r>
    </w:p>
    <w:p w:rsidR="002E57EF" w:rsidP="002E57EF">
      <w:pPr>
        <w:pStyle w:val="Version"/>
        <w:sectPr w:rsidSect="006B58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58A8" w:rsidP="006B58A8">
      <w:pPr>
        <w:pStyle w:val="SuperHeading"/>
      </w:pPr>
      <w:r w:rsidRPr="006B58A8">
        <w:t>Assessment Requirements for HLTENN051 Apply nursing practice in sexual and reproductive health care</w:t>
      </w:r>
    </w:p>
    <w:p w:rsidR="00000000" w:rsidRPr="006B58A8" w:rsidP="006B58A8">
      <w:pPr>
        <w:pStyle w:val="Heading1"/>
      </w:pPr>
      <w:bookmarkStart w:id="1" w:name="O_1200574"/>
      <w:bookmarkEnd w:id="1"/>
      <w:r w:rsidRPr="006B58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6B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58A8" w:rsidP="006B58A8">
            <w:pPr>
              <w:pStyle w:val="BodyText"/>
            </w:pPr>
            <w:r w:rsidRPr="006B58A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8A8">
            <w:pPr>
              <w:pStyle w:val="BodyText"/>
              <w:rPr>
                <w:lang w:val="en-NZ"/>
              </w:rPr>
            </w:pPr>
            <w:r w:rsidRPr="006B58A8">
              <w:rPr>
                <w:rStyle w:val="SpecialBold"/>
              </w:rPr>
              <w:t>Comments</w:t>
            </w:r>
          </w:p>
        </w:tc>
      </w:tr>
      <w:tr w:rsidTr="006B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8A8">
            <w:pPr>
              <w:pStyle w:val="BodyText"/>
              <w:rPr>
                <w:lang w:val="en-NZ"/>
              </w:rPr>
            </w:pPr>
            <w:r w:rsidRPr="006B58A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8A8" w:rsidP="006B58A8">
            <w:pPr>
              <w:pStyle w:val="BodyText"/>
            </w:pPr>
            <w:r w:rsidRPr="006B58A8">
              <w:t>Release 2 HLTENN051 Apply nursing practice in sexual and reproductive health care supersedes and is equivalent to Release 1 HLTENN051 Apply nursing practice in sexual and reproductive health care.</w:t>
            </w:r>
          </w:p>
          <w:p w:rsidR="00000000" w:rsidRPr="006B58A8" w:rsidP="006B58A8">
            <w:pPr>
              <w:pStyle w:val="BodyText"/>
            </w:pPr>
            <w:r w:rsidRPr="006B58A8">
              <w:t>Updated:</w:t>
            </w:r>
          </w:p>
          <w:p w:rsidR="00000000" w:rsidP="006B58A8">
            <w:pPr>
              <w:pStyle w:val="BodyText"/>
              <w:rPr>
                <w:lang w:val="en-NZ"/>
              </w:rPr>
            </w:pPr>
            <w:r w:rsidRPr="006B58A8">
              <w:t>Mapping details and minor corrections.</w:t>
            </w:r>
          </w:p>
        </w:tc>
      </w:tr>
      <w:tr w:rsidTr="006B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8A8">
            <w:pPr>
              <w:pStyle w:val="BodyText"/>
              <w:rPr>
                <w:lang w:val="en-NZ"/>
              </w:rPr>
            </w:pPr>
            <w:r w:rsidRPr="006B58A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8A8" w:rsidP="006B58A8">
            <w:pPr>
              <w:pStyle w:val="BodyText"/>
            </w:pPr>
            <w:r w:rsidRPr="006B58A8">
              <w:t>HLTENN051 Apply nursing practice in sexual and reproductive health care supersedes and is equivalent to HLTENN019 Apply nursing practice in sexual and reproductive health care.</w:t>
            </w:r>
          </w:p>
        </w:tc>
      </w:tr>
    </w:tbl>
    <w:p w:rsidR="00000000" w:rsidRPr="006B58A8" w:rsidP="006B58A8">
      <w:pPr>
        <w:pStyle w:val="BodyText"/>
      </w:pPr>
    </w:p>
    <w:p w:rsidR="00000000" w:rsidRPr="006B58A8" w:rsidP="006B58A8">
      <w:pPr>
        <w:pStyle w:val="AllowPageBreak"/>
      </w:pPr>
    </w:p>
    <w:p w:rsidR="00000000" w:rsidRPr="006B58A8" w:rsidP="006B58A8">
      <w:pPr>
        <w:pStyle w:val="Heading1"/>
      </w:pPr>
      <w:bookmarkStart w:id="2" w:name="O_1200573"/>
      <w:bookmarkEnd w:id="2"/>
      <w:r w:rsidRPr="006B58A8">
        <w:t>Performance Evidence</w:t>
      </w:r>
    </w:p>
    <w:p w:rsidR="00000000" w:rsidRPr="006B58A8" w:rsidP="002E57EF">
      <w:pPr>
        <w:pStyle w:val="BodyText"/>
      </w:pPr>
      <w:r w:rsidRPr="006B58A8">
        <w:t>Evidence of the ability to complete tasks outlined in elements and performance criteria of this unit in the context of the job role, and:</w:t>
      </w:r>
    </w:p>
    <w:p w:rsidR="00000000" w:rsidRPr="006B58A8" w:rsidP="006B58A8">
      <w:pPr>
        <w:pStyle w:val="ListBullet"/>
      </w:pPr>
      <w:r w:rsidRPr="006B58A8">
        <w:t>perform a sexual health assessment on one female and one male person in the workplace</w:t>
      </w:r>
    </w:p>
    <w:p w:rsidR="00000000" w:rsidRPr="006B58A8" w:rsidP="006B58A8">
      <w:pPr>
        <w:pStyle w:val="ListBullet"/>
      </w:pPr>
      <w:r w:rsidRPr="006B58A8">
        <w:t>conduct two activities to suppo</w:t>
      </w:r>
      <w:r w:rsidRPr="006B58A8">
        <w:t>rt quality and promote innovations in sexual and reproductive health for a multidisciplinary health care team based on knowledge acquired through own professional development and learning</w:t>
      </w:r>
    </w:p>
    <w:p w:rsidR="00000000" w:rsidRPr="006B58A8" w:rsidP="002E57EF">
      <w:pPr>
        <w:pStyle w:val="BodyText"/>
      </w:pPr>
      <w:r w:rsidRPr="006B58A8">
        <w:t>The tasks must be undertaken in accordance with the Nursing and Midw</w:t>
      </w:r>
      <w:r w:rsidRPr="006B58A8">
        <w:t>ifery Board of Australia (NMBA) professional practice standards, codes and guidelines.</w:t>
      </w:r>
    </w:p>
    <w:p w:rsidR="00000000" w:rsidRPr="006B58A8" w:rsidP="006B58A8">
      <w:pPr>
        <w:pStyle w:val="Heading1"/>
      </w:pPr>
      <w:bookmarkStart w:id="3" w:name="O_1200572"/>
      <w:bookmarkEnd w:id="3"/>
      <w:r w:rsidRPr="006B58A8">
        <w:t>Knowledge Evidence</w:t>
      </w:r>
    </w:p>
    <w:p w:rsidR="00000000" w:rsidRPr="006B58A8" w:rsidP="002E57EF">
      <w:pPr>
        <w:pStyle w:val="BodyText"/>
      </w:pPr>
      <w:r w:rsidRPr="006B58A8">
        <w:t>Demonstrate knowledge required to complete tasks outlined in elements and performance criteria of this unit:</w:t>
      </w:r>
    </w:p>
    <w:p w:rsidR="00000000" w:rsidRPr="006B58A8" w:rsidP="006B58A8">
      <w:pPr>
        <w:pStyle w:val="ListBullet"/>
      </w:pPr>
      <w:r w:rsidRPr="006B58A8">
        <w:t>historical developmen</w:t>
      </w:r>
      <w:r w:rsidRPr="006B58A8">
        <w:t>t of sexual and reproductive health strategies to support women’s and men’s health and wellbeing</w:t>
      </w:r>
    </w:p>
    <w:p w:rsidR="00000000" w:rsidRPr="006B58A8" w:rsidP="006B58A8">
      <w:pPr>
        <w:pStyle w:val="ListBullet"/>
      </w:pPr>
      <w:r w:rsidRPr="006B58A8">
        <w:t>health prevention screening options for early identification of women’s and men’s health issues</w:t>
      </w:r>
    </w:p>
    <w:p w:rsidR="00000000" w:rsidRPr="006B58A8" w:rsidP="006B58A8">
      <w:pPr>
        <w:pStyle w:val="ListBullet"/>
      </w:pPr>
      <w:r w:rsidRPr="006B58A8">
        <w:t xml:space="preserve">conditions and factors affecting women’s health and wellbeing, </w:t>
      </w:r>
      <w:r w:rsidRPr="006B58A8">
        <w:t>and their impact and treatment:</w:t>
      </w:r>
    </w:p>
    <w:p w:rsidR="00000000" w:rsidRPr="006B58A8" w:rsidP="006B58A8">
      <w:pPr>
        <w:pStyle w:val="ListBullet2"/>
      </w:pPr>
      <w:r w:rsidRPr="006B58A8">
        <w:t>breast screening</w:t>
      </w:r>
    </w:p>
    <w:p w:rsidR="00000000" w:rsidRPr="006B58A8" w:rsidP="006B58A8">
      <w:pPr>
        <w:pStyle w:val="ListBullet2"/>
      </w:pPr>
      <w:r w:rsidRPr="006B58A8">
        <w:t>cervical screening</w:t>
      </w:r>
    </w:p>
    <w:p w:rsidR="00000000" w:rsidRPr="006B58A8" w:rsidP="006B58A8">
      <w:pPr>
        <w:pStyle w:val="ListBullet2"/>
      </w:pPr>
      <w:r w:rsidRPr="006B58A8">
        <w:t>family violence.</w:t>
      </w:r>
    </w:p>
    <w:p w:rsidR="00000000" w:rsidRPr="006B58A8" w:rsidP="006B58A8">
      <w:pPr>
        <w:pStyle w:val="ListBullet2"/>
      </w:pPr>
      <w:r w:rsidRPr="006B58A8">
        <w:t>sexual assault</w:t>
      </w:r>
    </w:p>
    <w:p w:rsidR="00000000" w:rsidRPr="006B58A8" w:rsidP="006B58A8">
      <w:pPr>
        <w:pStyle w:val="ListBullet2"/>
      </w:pPr>
      <w:r w:rsidRPr="006B58A8">
        <w:t>menopause</w:t>
      </w:r>
    </w:p>
    <w:p w:rsidR="00000000" w:rsidRPr="006B58A8" w:rsidP="006B58A8">
      <w:pPr>
        <w:pStyle w:val="ListBullet2"/>
      </w:pPr>
      <w:r w:rsidRPr="006B58A8">
        <w:t>vaginal prolapse and continence issues</w:t>
      </w:r>
    </w:p>
    <w:p w:rsidR="00000000" w:rsidRPr="006B58A8" w:rsidP="006B58A8">
      <w:pPr>
        <w:pStyle w:val="ListBullet"/>
      </w:pPr>
      <w:r w:rsidRPr="006B58A8">
        <w:t>sexual physiology and human sexual response</w:t>
      </w:r>
    </w:p>
    <w:p w:rsidR="00000000" w:rsidRPr="006B58A8" w:rsidP="006B58A8">
      <w:pPr>
        <w:pStyle w:val="ListBullet"/>
      </w:pPr>
      <w:r w:rsidRPr="006B58A8">
        <w:t>philosophy underpinning sexual and reproductive health management</w:t>
      </w:r>
    </w:p>
    <w:p w:rsidR="00000000" w:rsidRPr="006B58A8" w:rsidP="006B58A8">
      <w:pPr>
        <w:pStyle w:val="ListBullet"/>
      </w:pPr>
      <w:r w:rsidRPr="006B58A8">
        <w:t>medical and surgical procedures associated with sexual and reproductive health</w:t>
      </w:r>
    </w:p>
    <w:p w:rsidR="00000000" w:rsidRPr="006B58A8" w:rsidP="006B58A8">
      <w:pPr>
        <w:pStyle w:val="ListBullet"/>
      </w:pPr>
      <w:r w:rsidRPr="006B58A8">
        <w:t xml:space="preserve">anatomy, physiology and pathophysiology of sexual and reproductive health and clinical manifestation of sexual </w:t>
      </w:r>
      <w:r w:rsidRPr="006B58A8">
        <w:t>and reproductive conditions sufficiently in-depth and specialised to make judgements and to make a professional contribution in the sexual and reproductive health care setting</w:t>
      </w:r>
    </w:p>
    <w:p w:rsidR="00000000" w:rsidRPr="006B58A8" w:rsidP="006B58A8">
      <w:pPr>
        <w:pStyle w:val="ListBullet"/>
      </w:pPr>
      <w:r w:rsidRPr="006B58A8">
        <w:t>sexual and reproductive health-related matters:</w:t>
      </w:r>
    </w:p>
    <w:p w:rsidR="00000000" w:rsidRPr="006B58A8" w:rsidP="006B58A8">
      <w:pPr>
        <w:pStyle w:val="ListBullet2"/>
      </w:pPr>
      <w:r w:rsidRPr="006B58A8">
        <w:t>contraception</w:t>
      </w:r>
    </w:p>
    <w:p w:rsidR="00000000" w:rsidRPr="006B58A8" w:rsidP="006B58A8">
      <w:pPr>
        <w:pStyle w:val="ListBullet2"/>
      </w:pPr>
      <w:r w:rsidRPr="006B58A8">
        <w:t>health problems a</w:t>
      </w:r>
      <w:r w:rsidRPr="006B58A8">
        <w:t>ffecting sexuality:</w:t>
      </w:r>
    </w:p>
    <w:p w:rsidR="00000000" w:rsidRPr="006B58A8" w:rsidP="006B58A8">
      <w:pPr>
        <w:pStyle w:val="ListBullet3"/>
      </w:pPr>
      <w:r w:rsidRPr="006B58A8">
        <w:t>spinal cord injuries</w:t>
      </w:r>
    </w:p>
    <w:p w:rsidR="00000000" w:rsidRPr="006B58A8" w:rsidP="006B58A8">
      <w:pPr>
        <w:pStyle w:val="ListBullet3"/>
      </w:pPr>
      <w:r w:rsidRPr="006B58A8">
        <w:t>diabetes mellitus</w:t>
      </w:r>
    </w:p>
    <w:p w:rsidR="00000000" w:rsidRPr="006B58A8" w:rsidP="006B58A8">
      <w:pPr>
        <w:pStyle w:val="ListBullet3"/>
      </w:pPr>
      <w:r w:rsidRPr="006B58A8">
        <w:t>hypertension</w:t>
      </w:r>
    </w:p>
    <w:p w:rsidR="00000000" w:rsidRPr="006B58A8" w:rsidP="006B58A8">
      <w:pPr>
        <w:pStyle w:val="ListBullet2"/>
      </w:pPr>
      <w:r w:rsidRPr="006B58A8">
        <w:t>infertility</w:t>
      </w:r>
    </w:p>
    <w:p w:rsidR="00000000" w:rsidRPr="006B58A8" w:rsidP="006B58A8">
      <w:pPr>
        <w:pStyle w:val="ListBullet2"/>
      </w:pPr>
      <w:r w:rsidRPr="006B58A8">
        <w:t>menopause</w:t>
      </w:r>
    </w:p>
    <w:p w:rsidR="00000000" w:rsidRPr="006B58A8" w:rsidP="006B58A8">
      <w:pPr>
        <w:pStyle w:val="ListBullet2"/>
      </w:pPr>
      <w:r w:rsidRPr="006B58A8">
        <w:t>pregnancy options</w:t>
      </w:r>
    </w:p>
    <w:p w:rsidR="00000000" w:rsidRPr="006B58A8" w:rsidP="006B58A8">
      <w:pPr>
        <w:pStyle w:val="ListBullet2"/>
      </w:pPr>
      <w:r w:rsidRPr="006B58A8">
        <w:t>puberty</w:t>
      </w:r>
    </w:p>
    <w:p w:rsidR="00000000" w:rsidRPr="006B58A8" w:rsidP="006B58A8">
      <w:pPr>
        <w:pStyle w:val="ListBullet2"/>
      </w:pPr>
      <w:r w:rsidRPr="006B58A8">
        <w:t>risk taking behaviours</w:t>
      </w:r>
    </w:p>
    <w:p w:rsidR="00000000" w:rsidRPr="006B58A8" w:rsidP="006B58A8">
      <w:pPr>
        <w:pStyle w:val="ListBullet2"/>
      </w:pPr>
      <w:r w:rsidRPr="006B58A8">
        <w:t>sexual abuse</w:t>
      </w:r>
    </w:p>
    <w:p w:rsidR="00000000" w:rsidRPr="006B58A8" w:rsidP="006B58A8">
      <w:pPr>
        <w:pStyle w:val="ListBullet2"/>
      </w:pPr>
      <w:r w:rsidRPr="006B58A8">
        <w:t>sexual dysfunction</w:t>
      </w:r>
    </w:p>
    <w:p w:rsidR="00000000" w:rsidRPr="006B58A8" w:rsidP="006B58A8">
      <w:pPr>
        <w:pStyle w:val="ListBullet2"/>
      </w:pPr>
      <w:r w:rsidRPr="006B58A8">
        <w:t>sexual orientation</w:t>
      </w:r>
    </w:p>
    <w:p w:rsidR="00000000" w:rsidRPr="006B58A8" w:rsidP="006B58A8">
      <w:pPr>
        <w:pStyle w:val="ListBullet"/>
      </w:pPr>
      <w:r w:rsidRPr="006B58A8">
        <w:t>healthy sexual behaviours and attitudes and practices:</w:t>
      </w:r>
    </w:p>
    <w:p w:rsidR="00000000" w:rsidRPr="006B58A8" w:rsidP="006B58A8">
      <w:pPr>
        <w:pStyle w:val="ListBullet2"/>
      </w:pPr>
      <w:r w:rsidRPr="006B58A8">
        <w:t>safer sex practices</w:t>
      </w:r>
    </w:p>
    <w:p w:rsidR="00000000" w:rsidRPr="006B58A8" w:rsidP="006B58A8">
      <w:pPr>
        <w:pStyle w:val="ListBullet2"/>
      </w:pPr>
      <w:r w:rsidRPr="006B58A8">
        <w:t>barriers to use of safer sex practices</w:t>
      </w:r>
    </w:p>
    <w:p w:rsidR="00000000" w:rsidRPr="006B58A8" w:rsidP="006B58A8">
      <w:pPr>
        <w:pStyle w:val="ListBullet"/>
      </w:pPr>
      <w:r w:rsidRPr="006B58A8">
        <w:t>factors that interfere with sexual health and emotional wellbeing including influence of alcohol and other drug use on sexual behaviours</w:t>
      </w:r>
    </w:p>
    <w:p w:rsidR="00000000" w:rsidRPr="006B58A8" w:rsidP="006B58A8">
      <w:pPr>
        <w:pStyle w:val="ListBullet"/>
      </w:pPr>
      <w:r w:rsidRPr="006B58A8">
        <w:t>sexually transmissible infections (STIs):</w:t>
      </w:r>
    </w:p>
    <w:p w:rsidR="00000000" w:rsidRPr="006B58A8" w:rsidP="006B58A8">
      <w:pPr>
        <w:pStyle w:val="ListBullet2"/>
      </w:pPr>
      <w:r w:rsidRPr="006B58A8">
        <w:t>description, def</w:t>
      </w:r>
      <w:r w:rsidRPr="006B58A8">
        <w:t>inition, statistics, signs and symptoms, and universal precautions</w:t>
      </w:r>
    </w:p>
    <w:p w:rsidR="00000000" w:rsidRPr="006B58A8" w:rsidP="006B58A8">
      <w:pPr>
        <w:pStyle w:val="ListBullet2"/>
      </w:pPr>
      <w:r w:rsidRPr="006B58A8">
        <w:t>common STIs and blood-borne infections (BBIs)</w:t>
      </w:r>
    </w:p>
    <w:p w:rsidR="00000000" w:rsidRPr="006B58A8" w:rsidP="006B58A8">
      <w:pPr>
        <w:pStyle w:val="ListBullet2"/>
      </w:pPr>
      <w:r w:rsidRPr="006B58A8">
        <w:t>notifiable STIs and BBIs</w:t>
      </w:r>
    </w:p>
    <w:p w:rsidR="00000000" w:rsidRPr="006B58A8" w:rsidP="006B58A8">
      <w:pPr>
        <w:pStyle w:val="ListBullet2"/>
      </w:pPr>
      <w:r w:rsidRPr="006B58A8">
        <w:t>transmission, testing and complications related to STIs</w:t>
      </w:r>
    </w:p>
    <w:p w:rsidR="00000000" w:rsidRPr="006B58A8" w:rsidP="006B58A8">
      <w:pPr>
        <w:pStyle w:val="ListBullet2"/>
      </w:pPr>
      <w:r w:rsidRPr="006B58A8">
        <w:t>contact tracing and partner notification</w:t>
      </w:r>
    </w:p>
    <w:p w:rsidR="00000000" w:rsidRPr="006B58A8" w:rsidP="006B58A8">
      <w:pPr>
        <w:pStyle w:val="ListBullet2"/>
      </w:pPr>
      <w:r w:rsidRPr="006B58A8">
        <w:t>ways to prevent, mana</w:t>
      </w:r>
      <w:r w:rsidRPr="006B58A8">
        <w:t>ge and treat STIs</w:t>
      </w:r>
    </w:p>
    <w:p w:rsidR="00000000" w:rsidRPr="006B58A8" w:rsidP="006B58A8">
      <w:pPr>
        <w:pStyle w:val="ListBullet"/>
      </w:pPr>
      <w:r w:rsidRPr="006B58A8">
        <w:t>risk factors for contracting STIs and BBIs:</w:t>
      </w:r>
    </w:p>
    <w:p w:rsidR="00000000" w:rsidRPr="006B58A8" w:rsidP="006B58A8">
      <w:pPr>
        <w:pStyle w:val="ListBullet2"/>
      </w:pPr>
      <w:r w:rsidRPr="006B58A8">
        <w:t>relationship between STIs and increased risk of contracting BBIs</w:t>
      </w:r>
    </w:p>
    <w:p w:rsidR="00000000" w:rsidRPr="006B58A8" w:rsidP="006B58A8">
      <w:pPr>
        <w:pStyle w:val="ListBullet2"/>
      </w:pPr>
      <w:r w:rsidRPr="006B58A8">
        <w:t>unprotected anal, vaginal and oral sex</w:t>
      </w:r>
    </w:p>
    <w:p w:rsidR="00000000" w:rsidRPr="006B58A8" w:rsidP="006B58A8">
      <w:pPr>
        <w:pStyle w:val="ListBullet2"/>
      </w:pPr>
      <w:r w:rsidRPr="006B58A8">
        <w:t>receptive and insertive partners</w:t>
      </w:r>
    </w:p>
    <w:p w:rsidR="00000000" w:rsidRPr="006B58A8" w:rsidP="006B58A8">
      <w:pPr>
        <w:pStyle w:val="ListBullet2"/>
      </w:pPr>
      <w:r w:rsidRPr="006B58A8">
        <w:t>mother to baby</w:t>
      </w:r>
    </w:p>
    <w:p w:rsidR="00000000" w:rsidRPr="006B58A8" w:rsidP="006B58A8">
      <w:pPr>
        <w:pStyle w:val="ListBullet2"/>
      </w:pPr>
      <w:r w:rsidRPr="006B58A8">
        <w:t>blood to blood</w:t>
      </w:r>
    </w:p>
    <w:p w:rsidR="00000000" w:rsidRPr="006B58A8" w:rsidP="006B58A8">
      <w:pPr>
        <w:pStyle w:val="ListBullet2"/>
      </w:pPr>
      <w:r w:rsidRPr="006B58A8">
        <w:t>unsafe drug injection</w:t>
      </w:r>
    </w:p>
    <w:p w:rsidR="00000000" w:rsidRPr="006B58A8" w:rsidP="006B58A8">
      <w:pPr>
        <w:pStyle w:val="ListBullet"/>
      </w:pPr>
      <w:r w:rsidRPr="006B58A8">
        <w:t>age and gender issues related to sexual health for the older adult, young adult and adolescent</w:t>
      </w:r>
    </w:p>
    <w:p w:rsidR="00000000" w:rsidRPr="006B58A8" w:rsidP="006B58A8">
      <w:pPr>
        <w:pStyle w:val="ListBullet"/>
      </w:pPr>
      <w:r w:rsidRPr="006B58A8">
        <w:t>community resources and services for sexual and reproductive health promotion and education</w:t>
      </w:r>
    </w:p>
    <w:p w:rsidR="00000000" w:rsidRPr="006B58A8" w:rsidP="006B58A8">
      <w:pPr>
        <w:pStyle w:val="ListBullet"/>
      </w:pPr>
      <w:r w:rsidRPr="006B58A8">
        <w:t>cultural diversity and inclusion.</w:t>
      </w:r>
    </w:p>
    <w:p w:rsidR="00000000" w:rsidRPr="006B58A8" w:rsidP="006B58A8">
      <w:pPr>
        <w:pStyle w:val="AllowPageBreak"/>
      </w:pPr>
    </w:p>
    <w:p w:rsidR="00000000" w:rsidRPr="006B58A8" w:rsidP="006B58A8">
      <w:pPr>
        <w:pStyle w:val="Heading1"/>
      </w:pPr>
      <w:bookmarkStart w:id="4" w:name="O_1200571"/>
      <w:bookmarkEnd w:id="4"/>
      <w:r w:rsidRPr="006B58A8">
        <w:t>Assessment Condi</w:t>
      </w:r>
      <w:r w:rsidRPr="006B58A8">
        <w:t>tions</w:t>
      </w:r>
    </w:p>
    <w:p w:rsidR="00000000" w:rsidRPr="006B58A8" w:rsidP="002E57EF">
      <w:pPr>
        <w:pStyle w:val="BodyText"/>
      </w:pPr>
      <w:r w:rsidRPr="006B58A8">
        <w:t>To be eligible to apply for registration as an enrolled nurse and to practice in Australia, each applicant must complete a Diploma of Nursing program accredited by the Australian Nursing and Midwifery Accreditation Council (ANMAC) and approved as ‘an</w:t>
      </w:r>
      <w:r w:rsidRPr="006B58A8">
        <w:t xml:space="preserve"> approved program of study’ by the Nursing and Midwifery Board of Australia (NMBA) in accordance with the Enrolled Nurse Accreditation Standards. </w:t>
      </w:r>
    </w:p>
    <w:p w:rsidR="00000000" w:rsidRPr="006B58A8" w:rsidP="002E57EF">
      <w:pPr>
        <w:pStyle w:val="BodyText"/>
      </w:pPr>
      <w:r w:rsidRPr="006B58A8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C064AE">
        <w:rPr>
          <w:rStyle w:val="Hyperlink"/>
        </w:rPr>
        <w:t>https://www.ahpra.gov.au</w:t>
      </w:r>
      <w:r>
        <w:fldChar w:fldCharType="end"/>
      </w:r>
      <w:r w:rsidRPr="006B58A8">
        <w:t xml:space="preserve">.  </w:t>
      </w:r>
    </w:p>
    <w:p w:rsidR="00000000" w:rsidRPr="006B58A8" w:rsidP="002E57EF">
      <w:pPr>
        <w:pStyle w:val="BodyText"/>
      </w:pPr>
      <w:r w:rsidRPr="006B58A8">
        <w:t>Skills must be demonstrated in the workplace or in a simula</w:t>
      </w:r>
      <w:r w:rsidRPr="006B58A8">
        <w:t>ted environment as specified in the performance evidence that model industry operating conditions including access to real people for simulations and scenarios in enrolled nursing work.</w:t>
      </w:r>
    </w:p>
    <w:p w:rsidR="00000000" w:rsidRPr="006B58A8" w:rsidP="002E57EF">
      <w:pPr>
        <w:pStyle w:val="BodyText"/>
      </w:pPr>
      <w:r w:rsidRPr="006B58A8">
        <w:t>Assessors must satisfy the Standards for Registered Training Organisat</w:t>
      </w:r>
      <w:r w:rsidRPr="006B58A8">
        <w:t>ions’ requirements for assessors.</w:t>
      </w:r>
    </w:p>
    <w:p w:rsidR="00000000" w:rsidRPr="006B58A8" w:rsidP="002E57EF">
      <w:pPr>
        <w:pStyle w:val="BodyText"/>
      </w:pPr>
      <w:r w:rsidRPr="006B58A8">
        <w:t>Assessors must also hold current registration as a registered nurse with the Nursing and Midwifery Board of Australia (NMBA).</w:t>
      </w:r>
    </w:p>
    <w:p w:rsidR="00000000" w:rsidRPr="006B58A8" w:rsidP="006B58A8">
      <w:pPr>
        <w:pStyle w:val="Heading1"/>
      </w:pPr>
      <w:bookmarkStart w:id="5" w:name="O_1200585"/>
      <w:bookmarkEnd w:id="5"/>
      <w:r w:rsidRPr="006B58A8">
        <w:t>Links</w:t>
      </w:r>
    </w:p>
    <w:p w:rsidR="00000000" w:rsidRPr="006B58A8" w:rsidP="002E57EF">
      <w:pPr>
        <w:pStyle w:val="BodyText"/>
      </w:pPr>
      <w:r w:rsidRPr="006B58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064A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B58A8" w:rsidP="006B58A8"/>
    <w:sectPr w:rsidSect="006B58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A8" w:rsidRPr="002E57EF" w:rsidP="002E5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EF" w:rsidP="006B58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57EF" w:rsidP="006B58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E57EF" w:rsidP="006B58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8A8" w:rsidRPr="002E57EF" w:rsidP="002E5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EF" w:rsidRPr="002D2AF8" w:rsidP="006B58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HLTENN051 Apply nursing practice in sexual and reproductive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E57EF" w:rsidP="006B58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7E25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168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E271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8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8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8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8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8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8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8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8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8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8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8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8A8"/>
  </w:style>
  <w:style w:type="character" w:customStyle="1" w:styleId="Heading1Char">
    <w:name w:val="Heading 1 Char"/>
    <w:basedOn w:val="DefaultParagraphFont"/>
    <w:link w:val="Heading1"/>
    <w:rsid w:val="006B58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8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8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8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58A8"/>
    <w:rPr>
      <w:b/>
      <w:spacing w:val="0"/>
    </w:rPr>
  </w:style>
  <w:style w:type="paragraph" w:styleId="ListBullet2">
    <w:name w:val="List Bullet 2"/>
    <w:basedOn w:val="List2"/>
    <w:rsid w:val="006B58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58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8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58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B58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8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8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8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8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8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8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8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8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8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8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8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8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8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8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8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8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8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8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58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8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8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8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8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8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8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8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8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58A8"/>
    <w:rPr>
      <w:i/>
    </w:rPr>
  </w:style>
  <w:style w:type="paragraph" w:styleId="Caption">
    <w:name w:val="caption"/>
    <w:basedOn w:val="BodyText"/>
    <w:next w:val="Normal"/>
    <w:qFormat/>
    <w:rsid w:val="006B58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8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8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8A8"/>
  </w:style>
  <w:style w:type="paragraph" w:styleId="TableofFigures">
    <w:name w:val="table of figures"/>
    <w:basedOn w:val="Normal"/>
    <w:next w:val="Normal"/>
    <w:semiHidden/>
    <w:rsid w:val="006B58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8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58A8"/>
    <w:rPr>
      <w:rFonts w:ascii="Wingdings" w:hAnsi="Wingdings"/>
    </w:rPr>
  </w:style>
  <w:style w:type="paragraph" w:customStyle="1" w:styleId="TableHeading">
    <w:name w:val="Table Heading"/>
    <w:basedOn w:val="HeadingBase"/>
    <w:rsid w:val="006B58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8A8"/>
    <w:rPr>
      <w:color w:val="0033CC"/>
      <w:u w:val="none"/>
    </w:rPr>
  </w:style>
  <w:style w:type="paragraph" w:customStyle="1" w:styleId="BodyTextRight">
    <w:name w:val="Body Text Right"/>
    <w:basedOn w:val="BodyText"/>
    <w:rsid w:val="006B58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8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8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8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8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8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8A8"/>
    <w:rPr>
      <w:sz w:val="32"/>
    </w:rPr>
  </w:style>
  <w:style w:type="paragraph" w:customStyle="1" w:styleId="HeadingProcedure">
    <w:name w:val="Heading Procedure"/>
    <w:basedOn w:val="HeadingBase"/>
    <w:next w:val="Normal"/>
    <w:rsid w:val="006B58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8A8"/>
    <w:pPr>
      <w:spacing w:before="60" w:after="60"/>
    </w:pPr>
  </w:style>
  <w:style w:type="paragraph" w:styleId="ListContinue">
    <w:name w:val="List Continue"/>
    <w:basedOn w:val="List"/>
    <w:rsid w:val="006B58A8"/>
    <w:pPr>
      <w:ind w:firstLine="0"/>
    </w:pPr>
  </w:style>
  <w:style w:type="paragraph" w:customStyle="1" w:styleId="ListNote">
    <w:name w:val="List Note"/>
    <w:basedOn w:val="List"/>
    <w:rsid w:val="006B58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8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8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8A8"/>
    <w:rPr>
      <w:rFonts w:ascii="Courier New" w:hAnsi="Courier New"/>
    </w:rPr>
  </w:style>
  <w:style w:type="paragraph" w:customStyle="1" w:styleId="NoteBullet">
    <w:name w:val="Note Bullet"/>
    <w:basedOn w:val="Note"/>
    <w:rsid w:val="006B58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8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8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8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8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58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8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8A8"/>
    <w:rPr>
      <w:b/>
      <w:smallCaps/>
    </w:rPr>
  </w:style>
  <w:style w:type="paragraph" w:customStyle="1" w:styleId="TableListNumber">
    <w:name w:val="Table List Number"/>
    <w:basedOn w:val="ListNumber"/>
    <w:rsid w:val="006B58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8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8A8"/>
    <w:pPr>
      <w:numPr>
        <w:numId w:val="10"/>
      </w:numPr>
    </w:pPr>
  </w:style>
  <w:style w:type="paragraph" w:customStyle="1" w:styleId="ListAlpha2">
    <w:name w:val="List Alpha 2"/>
    <w:basedOn w:val="List2"/>
    <w:rsid w:val="006B58A8"/>
    <w:pPr>
      <w:numPr>
        <w:numId w:val="9"/>
      </w:numPr>
    </w:pPr>
  </w:style>
  <w:style w:type="paragraph" w:styleId="List2">
    <w:name w:val="List 2"/>
    <w:basedOn w:val="BodyText"/>
    <w:rsid w:val="006B58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8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8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8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58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58A8"/>
    <w:pPr>
      <w:numPr>
        <w:numId w:val="5"/>
      </w:numPr>
    </w:pPr>
  </w:style>
  <w:style w:type="paragraph" w:styleId="ListContinue2">
    <w:name w:val="List Continue 2"/>
    <w:basedOn w:val="List2"/>
    <w:rsid w:val="006B58A8"/>
    <w:pPr>
      <w:ind w:firstLine="0"/>
    </w:pPr>
  </w:style>
  <w:style w:type="paragraph" w:styleId="ListContinue3">
    <w:name w:val="List Continue 3"/>
    <w:basedOn w:val="List3"/>
    <w:rsid w:val="006B58A8"/>
    <w:pPr>
      <w:ind w:left="1021" w:firstLine="0"/>
    </w:pPr>
  </w:style>
  <w:style w:type="paragraph" w:styleId="ListContinue4">
    <w:name w:val="List Continue 4"/>
    <w:basedOn w:val="List4"/>
    <w:rsid w:val="006B58A8"/>
    <w:pPr>
      <w:ind w:firstLine="0"/>
    </w:pPr>
  </w:style>
  <w:style w:type="paragraph" w:styleId="ListContinue5">
    <w:name w:val="List Continue 5"/>
    <w:basedOn w:val="List5"/>
    <w:rsid w:val="006B58A8"/>
    <w:pPr>
      <w:ind w:firstLine="0"/>
    </w:pPr>
  </w:style>
  <w:style w:type="paragraph" w:styleId="ListNumber3">
    <w:name w:val="List Number 3"/>
    <w:basedOn w:val="List3"/>
    <w:rsid w:val="006B58A8"/>
    <w:pPr>
      <w:numPr>
        <w:numId w:val="6"/>
      </w:numPr>
    </w:pPr>
  </w:style>
  <w:style w:type="paragraph" w:styleId="ListNumber4">
    <w:name w:val="List Number 4"/>
    <w:basedOn w:val="List4"/>
    <w:rsid w:val="006B58A8"/>
    <w:pPr>
      <w:numPr>
        <w:numId w:val="7"/>
      </w:numPr>
    </w:pPr>
  </w:style>
  <w:style w:type="paragraph" w:styleId="ListNumber5">
    <w:name w:val="List Number 5"/>
    <w:basedOn w:val="List5"/>
    <w:rsid w:val="006B58A8"/>
    <w:pPr>
      <w:numPr>
        <w:numId w:val="8"/>
      </w:numPr>
    </w:pPr>
  </w:style>
  <w:style w:type="paragraph" w:styleId="BlockText">
    <w:name w:val="Block Text"/>
    <w:basedOn w:val="Normal"/>
    <w:rsid w:val="006B58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8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8A8"/>
    <w:rPr>
      <w:sz w:val="16"/>
      <w:vertAlign w:val="superscript"/>
    </w:rPr>
  </w:style>
  <w:style w:type="character" w:customStyle="1" w:styleId="Symbols">
    <w:name w:val="Symbols"/>
    <w:basedOn w:val="DefaultParagraphFont"/>
    <w:rsid w:val="006B58A8"/>
    <w:rPr>
      <w:rFonts w:ascii="Symbol" w:hAnsi="Symbol"/>
    </w:rPr>
  </w:style>
  <w:style w:type="character" w:customStyle="1" w:styleId="MenuOptions">
    <w:name w:val="Menu Options"/>
    <w:basedOn w:val="DefaultParagraphFont"/>
    <w:rsid w:val="006B58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8A8"/>
    <w:rPr>
      <w:b/>
    </w:rPr>
  </w:style>
  <w:style w:type="character" w:customStyle="1" w:styleId="Underlined">
    <w:name w:val="Underlined"/>
    <w:basedOn w:val="DefaultParagraphFont"/>
    <w:rsid w:val="006B58A8"/>
    <w:rPr>
      <w:u w:val="single"/>
    </w:rPr>
  </w:style>
  <w:style w:type="paragraph" w:customStyle="1" w:styleId="TableBodyTextRight">
    <w:name w:val="Table Body Text Right"/>
    <w:basedOn w:val="TableBodyText"/>
    <w:rsid w:val="006B58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8A8"/>
    <w:rPr>
      <w:sz w:val="18"/>
    </w:rPr>
  </w:style>
  <w:style w:type="paragraph" w:customStyle="1" w:styleId="BodySmallRight">
    <w:name w:val="Body Small Right"/>
    <w:basedOn w:val="BodyTextRight"/>
    <w:rsid w:val="006B58A8"/>
    <w:rPr>
      <w:sz w:val="18"/>
      <w:szCs w:val="18"/>
    </w:rPr>
  </w:style>
  <w:style w:type="paragraph" w:customStyle="1" w:styleId="MarginEdition">
    <w:name w:val="Margin Edition"/>
    <w:basedOn w:val="MarginNote"/>
    <w:rsid w:val="006B58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8A8"/>
    <w:rPr>
      <w:sz w:val="2"/>
      <w:szCs w:val="2"/>
    </w:rPr>
  </w:style>
  <w:style w:type="character" w:customStyle="1" w:styleId="Small">
    <w:name w:val="Small"/>
    <w:basedOn w:val="DefaultParagraphFont"/>
    <w:rsid w:val="006B58A8"/>
    <w:rPr>
      <w:sz w:val="16"/>
    </w:rPr>
  </w:style>
  <w:style w:type="paragraph" w:customStyle="1" w:styleId="WideTable">
    <w:name w:val="Wide Table"/>
    <w:basedOn w:val="Normal"/>
    <w:rsid w:val="006B58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8A8"/>
  </w:style>
  <w:style w:type="paragraph" w:styleId="Quote">
    <w:name w:val="Quote"/>
    <w:basedOn w:val="Heading1"/>
    <w:link w:val="QuoteChar"/>
    <w:qFormat/>
    <w:rsid w:val="006B58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8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8A8"/>
    <w:pPr>
      <w:pageBreakBefore/>
    </w:pPr>
  </w:style>
  <w:style w:type="paragraph" w:customStyle="1" w:styleId="Border">
    <w:name w:val="Border"/>
    <w:basedOn w:val="Normal"/>
    <w:qFormat/>
    <w:rsid w:val="006B58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8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8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8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8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8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8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8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8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8A8"/>
    <w:rPr>
      <w:u w:val="single"/>
    </w:rPr>
  </w:style>
  <w:style w:type="character" w:customStyle="1" w:styleId="BoldandItalics">
    <w:name w:val="Bold and Italics"/>
    <w:qFormat/>
    <w:rsid w:val="006B58A8"/>
    <w:rPr>
      <w:b/>
      <w:i/>
      <w:u w:val="none"/>
    </w:rPr>
  </w:style>
  <w:style w:type="paragraph" w:styleId="BalloonText">
    <w:name w:val="Balloon Text"/>
    <w:basedOn w:val="Normal"/>
    <w:link w:val="BalloonTextChar"/>
    <w:rsid w:val="006B5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8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8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8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8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8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8A8"/>
    <w:pPr>
      <w:spacing w:before="0" w:after="0"/>
    </w:pPr>
  </w:style>
  <w:style w:type="paragraph" w:customStyle="1" w:styleId="BodyTextBold">
    <w:name w:val="Body Text Bold"/>
    <w:basedOn w:val="BodyText"/>
    <w:qFormat/>
    <w:rsid w:val="006B58A8"/>
    <w:rPr>
      <w:b/>
    </w:rPr>
  </w:style>
  <w:style w:type="character" w:styleId="Hyperlink">
    <w:name w:val="Hyperlink"/>
    <w:basedOn w:val="DefaultParagraphFont"/>
    <w:uiPriority w:val="99"/>
    <w:unhideWhenUsed/>
    <w:rsid w:val="002E5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4297</Characters>
  <Application>Microsoft Office Word</Application>
  <DocSecurity>0</DocSecurity>
  <Lines>119</Lines>
  <Paragraphs>88</Paragraphs>
  <ScaleCrop>false</ScaleCrop>
  <Company>Author-it Software Corporation Ltd.</Company>
  <LinksUpToDate>false</LinksUpToDate>
  <CharactersWithSpaces>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HLTENN051 Apply nursing practice in sexual and reproductive health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2023-07-01T04:45:00Z</dcterms:created>
  <dcterms:modified xsi:type="dcterms:W3CDTF">2023-07-01T04:45:00Z</dcterms:modified>
</cp:coreProperties>
</file>