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917" w:rsidP="00B569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HLTENN045 Implement and monitor care of the older person</w:t>
      </w:r>
      <w:r>
        <w:fldChar w:fldCharType="end"/>
      </w:r>
    </w:p>
    <w:p w:rsidR="00B56917" w:rsidP="00B56917">
      <w:pPr>
        <w:pStyle w:val="Version"/>
        <w:sectPr w:rsidSect="003E72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7274" w:rsidP="003E7274">
      <w:pPr>
        <w:pStyle w:val="SuperHeading"/>
      </w:pPr>
      <w:r w:rsidRPr="003E7274">
        <w:t>Assessment Requirements for HLTENN045 Implement and monitor care of the older person</w:t>
      </w:r>
    </w:p>
    <w:p w:rsidR="00000000" w:rsidRPr="003E7274" w:rsidP="003E7274">
      <w:pPr>
        <w:pStyle w:val="Heading1"/>
      </w:pPr>
      <w:bookmarkStart w:id="1" w:name="O_1200472"/>
      <w:bookmarkEnd w:id="1"/>
      <w:r w:rsidRPr="003E72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3E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7274" w:rsidP="003E7274">
            <w:pPr>
              <w:pStyle w:val="BodyText"/>
            </w:pPr>
            <w:r w:rsidRPr="003E727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7274">
            <w:pPr>
              <w:pStyle w:val="BodyText"/>
              <w:rPr>
                <w:lang w:val="en-NZ"/>
              </w:rPr>
            </w:pPr>
            <w:r w:rsidRPr="003E7274">
              <w:rPr>
                <w:rStyle w:val="SpecialBold"/>
              </w:rPr>
              <w:t>Comments</w:t>
            </w:r>
          </w:p>
        </w:tc>
      </w:tr>
      <w:tr w:rsidTr="003E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74">
            <w:pPr>
              <w:pStyle w:val="BodyText"/>
              <w:rPr>
                <w:lang w:val="en-NZ"/>
              </w:rPr>
            </w:pPr>
            <w:r w:rsidRPr="003E727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74" w:rsidP="003E7274">
            <w:pPr>
              <w:pStyle w:val="BodyText"/>
            </w:pPr>
            <w:r w:rsidRPr="003E7274">
              <w:t xml:space="preserve">Release 2 HLTENN045 Implement and monitor care of the older person supersedes and is equivalent to Release 1 HLTENN045 Implement and monitor care of the older person. </w:t>
            </w:r>
          </w:p>
          <w:p w:rsidR="00000000" w:rsidRPr="003E7274" w:rsidP="003E7274">
            <w:pPr>
              <w:pStyle w:val="BodyText"/>
            </w:pPr>
            <w:r w:rsidRPr="003E7274">
              <w:t>Updated:</w:t>
            </w:r>
          </w:p>
          <w:p w:rsidR="00000000" w:rsidP="003E7274">
            <w:pPr>
              <w:pStyle w:val="BodyText"/>
              <w:rPr>
                <w:lang w:val="en-NZ"/>
              </w:rPr>
            </w:pPr>
            <w:r w:rsidRPr="003E7274">
              <w:t>Mapping details and minor corrections.</w:t>
            </w:r>
          </w:p>
        </w:tc>
      </w:tr>
      <w:tr w:rsidTr="003E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74">
            <w:pPr>
              <w:pStyle w:val="BodyText"/>
              <w:rPr>
                <w:lang w:val="en-NZ"/>
              </w:rPr>
            </w:pPr>
            <w:r w:rsidRPr="003E727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74" w:rsidP="003E7274">
            <w:pPr>
              <w:pStyle w:val="BodyText"/>
            </w:pPr>
            <w:r w:rsidRPr="003E7274">
              <w:t>HLTENN045 Implement and monit</w:t>
            </w:r>
            <w:r w:rsidRPr="003E7274">
              <w:t>or care of the older person supersedes and is equivalent to HLTENN013 Implement and monitor care of the older person.</w:t>
            </w:r>
          </w:p>
        </w:tc>
      </w:tr>
    </w:tbl>
    <w:p w:rsidR="00000000" w:rsidRPr="003E7274" w:rsidP="003E7274">
      <w:pPr>
        <w:pStyle w:val="BodyText"/>
      </w:pPr>
    </w:p>
    <w:p w:rsidR="00000000" w:rsidRPr="003E7274" w:rsidP="003E7274">
      <w:pPr>
        <w:pStyle w:val="AllowPageBreak"/>
      </w:pPr>
    </w:p>
    <w:p w:rsidR="00000000" w:rsidRPr="003E7274" w:rsidP="003E7274">
      <w:pPr>
        <w:pStyle w:val="Heading1"/>
      </w:pPr>
      <w:bookmarkStart w:id="2" w:name="O_1200471"/>
      <w:bookmarkEnd w:id="2"/>
      <w:r w:rsidRPr="003E7274">
        <w:t>Performance Evidence</w:t>
      </w:r>
    </w:p>
    <w:p w:rsidR="00000000" w:rsidRPr="003E7274" w:rsidP="00B56917">
      <w:pPr>
        <w:pStyle w:val="BodyText"/>
      </w:pPr>
      <w:r w:rsidRPr="003E7274">
        <w:t>Evidence of the ability to complete tasks outlined in elements and performance criteria of this unit in the context of the job role, and:</w:t>
      </w:r>
    </w:p>
    <w:p w:rsidR="00000000" w:rsidRPr="003E7274" w:rsidP="003E7274">
      <w:pPr>
        <w:pStyle w:val="ListBullet"/>
      </w:pPr>
      <w:r w:rsidRPr="003E7274">
        <w:t>analyse health information and clinical presentation of two older people to reach a conclusion on possible nursing in</w:t>
      </w:r>
      <w:r w:rsidRPr="003E7274">
        <w:t>terventions related to their care in consultation with a registered nurse</w:t>
      </w:r>
    </w:p>
    <w:p w:rsidR="00000000" w:rsidRPr="003E7274" w:rsidP="003E7274">
      <w:pPr>
        <w:pStyle w:val="ListBullet"/>
      </w:pPr>
      <w:r w:rsidRPr="003E7274">
        <w:t>perform nursing interventions for one older person in the workplace with cognitive change or impaired cognition and one older person with the condition of frailty</w:t>
      </w:r>
    </w:p>
    <w:p w:rsidR="00000000" w:rsidRPr="003E7274" w:rsidP="00B56917">
      <w:pPr>
        <w:pStyle w:val="BodyText"/>
      </w:pPr>
      <w:r w:rsidRPr="003E7274">
        <w:t>The tasks must be u</w:t>
      </w:r>
      <w:r w:rsidRPr="003E7274">
        <w:t>ndertaken in accordance with the Nursing and Midwifery Board of Australia (NMBA) professional practice standards, codes and guidelines.</w:t>
      </w:r>
    </w:p>
    <w:p w:rsidR="00000000" w:rsidRPr="003E7274" w:rsidP="003E7274">
      <w:pPr>
        <w:pStyle w:val="Heading1"/>
      </w:pPr>
      <w:bookmarkStart w:id="3" w:name="O_1200470"/>
      <w:bookmarkEnd w:id="3"/>
      <w:r w:rsidRPr="003E7274">
        <w:t>Knowledge Evidence</w:t>
      </w:r>
    </w:p>
    <w:p w:rsidR="00000000" w:rsidRPr="003E7274" w:rsidP="00B56917">
      <w:pPr>
        <w:pStyle w:val="BodyText"/>
      </w:pPr>
      <w:r w:rsidRPr="003E7274">
        <w:t>Demonstrate knowledge required to complete tasks outlined in elements and performa</w:t>
      </w:r>
      <w:r w:rsidRPr="003E7274">
        <w:t>nce criteria of this unit:</w:t>
      </w:r>
    </w:p>
    <w:p w:rsidR="00000000" w:rsidRPr="003E7274" w:rsidP="003E7274">
      <w:pPr>
        <w:pStyle w:val="ListBullet"/>
      </w:pPr>
      <w:r w:rsidRPr="003E7274">
        <w:t xml:space="preserve">role of aged care regulators. </w:t>
      </w:r>
    </w:p>
    <w:p w:rsidR="00000000" w:rsidRPr="003E7274" w:rsidP="003E7274">
      <w:pPr>
        <w:pStyle w:val="ListBullet"/>
      </w:pPr>
      <w:r w:rsidRPr="003E7274">
        <w:t>the potential impacts of dual and multiple diagnoses on identification and prioritisation of the older person’s needs</w:t>
      </w:r>
    </w:p>
    <w:p w:rsidR="00000000" w:rsidRPr="003E7274" w:rsidP="003E7274">
      <w:pPr>
        <w:pStyle w:val="ListBullet"/>
      </w:pPr>
      <w:r w:rsidRPr="003E7274">
        <w:t>chronic psychological and age-related health problems</w:t>
      </w:r>
    </w:p>
    <w:p w:rsidR="00000000" w:rsidRPr="003E7274" w:rsidP="003E7274">
      <w:pPr>
        <w:pStyle w:val="ListBullet"/>
      </w:pPr>
      <w:r w:rsidRPr="003E7274">
        <w:t>sexuality and the older p</w:t>
      </w:r>
      <w:r w:rsidRPr="003E7274">
        <w:t>erson</w:t>
      </w:r>
    </w:p>
    <w:p w:rsidR="00000000" w:rsidRPr="003E7274" w:rsidP="003E7274">
      <w:pPr>
        <w:pStyle w:val="ListBullet"/>
      </w:pPr>
      <w:r w:rsidRPr="003E7274">
        <w:t>personal hygiene:</w:t>
      </w:r>
    </w:p>
    <w:p w:rsidR="00000000" w:rsidRPr="003E7274" w:rsidP="003E7274">
      <w:pPr>
        <w:pStyle w:val="ListBullet2"/>
      </w:pPr>
      <w:r w:rsidRPr="003E7274">
        <w:t>activities of daily living (ADLs)</w:t>
      </w:r>
    </w:p>
    <w:p w:rsidR="00000000" w:rsidRPr="003E7274" w:rsidP="003E7274">
      <w:pPr>
        <w:pStyle w:val="ListBullet2"/>
      </w:pPr>
      <w:r w:rsidRPr="003E7274">
        <w:t>continence management</w:t>
      </w:r>
    </w:p>
    <w:p w:rsidR="00000000" w:rsidRPr="003E7274" w:rsidP="003E7274">
      <w:pPr>
        <w:pStyle w:val="ListBullet2"/>
      </w:pPr>
      <w:r w:rsidRPr="003E7274">
        <w:t>oral care</w:t>
      </w:r>
    </w:p>
    <w:p w:rsidR="00000000" w:rsidRPr="003E7274" w:rsidP="003E7274">
      <w:pPr>
        <w:pStyle w:val="ListBullet"/>
      </w:pPr>
      <w:r w:rsidRPr="003E7274">
        <w:t>counselling and support services and resources in the aged care environment and wider community</w:t>
      </w:r>
    </w:p>
    <w:p w:rsidR="00000000" w:rsidRPr="003E7274" w:rsidP="003E7274">
      <w:pPr>
        <w:pStyle w:val="ListBullet"/>
      </w:pPr>
      <w:r w:rsidRPr="003E7274">
        <w:t>support and comfort required for grieving families and carers within own role parameters</w:t>
      </w:r>
    </w:p>
    <w:p w:rsidR="00000000" w:rsidRPr="003E7274" w:rsidP="003E7274">
      <w:pPr>
        <w:pStyle w:val="ListBullet"/>
      </w:pPr>
      <w:r w:rsidRPr="003E7274">
        <w:t>difference between end-of-life care and palliative care of dying and after death care in consultation with registered nurse</w:t>
      </w:r>
    </w:p>
    <w:p w:rsidR="00000000" w:rsidRPr="003E7274" w:rsidP="003E7274">
      <w:pPr>
        <w:pStyle w:val="ListBullet"/>
      </w:pPr>
      <w:r w:rsidRPr="003E7274">
        <w:t>functional assessment tools for assessing o</w:t>
      </w:r>
      <w:r w:rsidRPr="003E7274">
        <w:t>lder people, including recognition of cognitive impairment including delirium and depression</w:t>
      </w:r>
    </w:p>
    <w:p w:rsidR="00000000" w:rsidRPr="003E7274" w:rsidP="003E7274">
      <w:pPr>
        <w:pStyle w:val="ListBullet2"/>
      </w:pPr>
      <w:r w:rsidRPr="003E7274">
        <w:t>nature of cognitive change related to progressive neurological condition and strategies and nursing interventions that can be used</w:t>
      </w:r>
    </w:p>
    <w:p w:rsidR="00000000" w:rsidRPr="003E7274" w:rsidP="003E7274">
      <w:pPr>
        <w:pStyle w:val="ListBullet2"/>
      </w:pPr>
      <w:r w:rsidRPr="003E7274">
        <w:t>diagnoses of dementia and how i</w:t>
      </w:r>
      <w:r w:rsidRPr="003E7274">
        <w:t>t presents</w:t>
      </w:r>
    </w:p>
    <w:p w:rsidR="00000000" w:rsidRPr="003E7274" w:rsidP="003E7274">
      <w:pPr>
        <w:pStyle w:val="ListBullet2"/>
      </w:pPr>
      <w:r w:rsidRPr="003E7274">
        <w:t>mini mental and psychogeriatric assessment scale using a developed and recognised standard assessment scale</w:t>
      </w:r>
    </w:p>
    <w:p w:rsidR="00000000" w:rsidRPr="003E7274" w:rsidP="003E7274">
      <w:pPr>
        <w:pStyle w:val="ListBullet2"/>
      </w:pPr>
      <w:r w:rsidRPr="003E7274">
        <w:t>the importance of a safe, physical, social and emotional environment for older people, and particularly for people with cognitive impairm</w:t>
      </w:r>
      <w:r w:rsidRPr="003E7274">
        <w:t>ent</w:t>
      </w:r>
    </w:p>
    <w:p w:rsidR="00000000" w:rsidRPr="003E7274" w:rsidP="003E7274">
      <w:pPr>
        <w:pStyle w:val="ListBullet"/>
      </w:pPr>
      <w:r w:rsidRPr="003E7274">
        <w:t>legal and professional obligations relating to physical, chemical and psychological restraint</w:t>
      </w:r>
    </w:p>
    <w:p w:rsidR="00000000" w:rsidRPr="003E7274" w:rsidP="003E7274">
      <w:pPr>
        <w:pStyle w:val="ListBullet"/>
      </w:pPr>
      <w:r w:rsidRPr="003E7274">
        <w:t>legal and ethical issues and considerations, and assessment tools relevant to the older person:</w:t>
      </w:r>
    </w:p>
    <w:p w:rsidR="00000000" w:rsidRPr="003E7274" w:rsidP="003E7274">
      <w:pPr>
        <w:pStyle w:val="ListBullet2"/>
      </w:pPr>
      <w:r w:rsidRPr="003E7274">
        <w:t>advance care directives</w:t>
      </w:r>
    </w:p>
    <w:p w:rsidR="00000000" w:rsidRPr="003E7274" w:rsidP="003E7274">
      <w:pPr>
        <w:pStyle w:val="ListBullet2"/>
      </w:pPr>
      <w:r w:rsidRPr="003E7274">
        <w:t xml:space="preserve">Aged Care Act </w:t>
      </w:r>
    </w:p>
    <w:p w:rsidR="00000000" w:rsidRPr="003E7274" w:rsidP="003E7274">
      <w:pPr>
        <w:pStyle w:val="ListBullet2"/>
      </w:pPr>
      <w:r w:rsidRPr="003E7274">
        <w:t>Aged Care Funding ins</w:t>
      </w:r>
      <w:r w:rsidRPr="003E7274">
        <w:t>truments</w:t>
      </w:r>
    </w:p>
    <w:p w:rsidR="00000000" w:rsidRPr="003E7274" w:rsidP="003E7274">
      <w:pPr>
        <w:pStyle w:val="ListBullet2"/>
      </w:pPr>
      <w:r w:rsidRPr="003E7274">
        <w:t>Aged Care Quality Standards</w:t>
      </w:r>
    </w:p>
    <w:p w:rsidR="00000000" w:rsidRPr="003E7274" w:rsidP="003E7274">
      <w:pPr>
        <w:pStyle w:val="ListBullet2"/>
      </w:pPr>
      <w:r w:rsidRPr="003E7274">
        <w:t>carers recognition legislation</w:t>
      </w:r>
    </w:p>
    <w:p w:rsidR="00000000" w:rsidRPr="003E7274" w:rsidP="003E7274">
      <w:pPr>
        <w:pStyle w:val="ListBullet2"/>
      </w:pPr>
      <w:r w:rsidRPr="003E7274">
        <w:t>NMBA code of ethics and code of conduct for nurses</w:t>
      </w:r>
    </w:p>
    <w:p w:rsidR="00000000" w:rsidRPr="003E7274" w:rsidP="003E7274">
      <w:pPr>
        <w:pStyle w:val="ListBullet"/>
      </w:pPr>
      <w:r w:rsidRPr="003E7274">
        <w:t>primary health care and services for the older person</w:t>
      </w:r>
    </w:p>
    <w:p w:rsidR="00000000" w:rsidRPr="003E7274" w:rsidP="003E7274">
      <w:pPr>
        <w:pStyle w:val="ListBullet"/>
      </w:pPr>
      <w:r w:rsidRPr="003E7274">
        <w:t>stereotypes and influences on ageing</w:t>
      </w:r>
    </w:p>
    <w:p w:rsidR="00000000" w:rsidRPr="003E7274" w:rsidP="003E7274">
      <w:pPr>
        <w:pStyle w:val="ListBullet"/>
      </w:pPr>
      <w:r w:rsidRPr="003E7274">
        <w:t>physical triggers and strategies to respond to responsive behaviour:</w:t>
      </w:r>
    </w:p>
    <w:p w:rsidR="00000000" w:rsidRPr="003E7274" w:rsidP="003E7274">
      <w:pPr>
        <w:pStyle w:val="ListBullet2"/>
      </w:pPr>
      <w:r w:rsidRPr="003E7274">
        <w:t>distraction including reminiscing, walking and listening to music</w:t>
      </w:r>
    </w:p>
    <w:p w:rsidR="00000000" w:rsidRPr="003E7274" w:rsidP="003E7274">
      <w:pPr>
        <w:pStyle w:val="ListBullet2"/>
      </w:pPr>
      <w:r w:rsidRPr="003E7274">
        <w:t>behaviour modification</w:t>
      </w:r>
    </w:p>
    <w:p w:rsidR="00000000" w:rsidRPr="003E7274" w:rsidP="003E7274">
      <w:pPr>
        <w:pStyle w:val="ListBullet"/>
      </w:pPr>
      <w:r w:rsidRPr="003E7274">
        <w:t>pain management</w:t>
      </w:r>
    </w:p>
    <w:p w:rsidR="00000000" w:rsidRPr="003E7274" w:rsidP="003E7274">
      <w:pPr>
        <w:pStyle w:val="ListBullet"/>
      </w:pPr>
      <w:r w:rsidRPr="003E7274">
        <w:t>use of prescribed hearing aids and alternative listening devices</w:t>
      </w:r>
    </w:p>
    <w:p w:rsidR="00000000" w:rsidRPr="003E7274" w:rsidP="003E7274">
      <w:pPr>
        <w:pStyle w:val="ListBullet"/>
      </w:pPr>
      <w:r w:rsidRPr="003E7274">
        <w:t xml:space="preserve">integration of </w:t>
      </w:r>
      <w:r w:rsidRPr="003E7274">
        <w:t>complementary therapies into practice settings</w:t>
      </w:r>
    </w:p>
    <w:p w:rsidR="00000000" w:rsidRPr="003E7274" w:rsidP="003E7274">
      <w:pPr>
        <w:pStyle w:val="ListBullet"/>
      </w:pPr>
      <w:r w:rsidRPr="003E7274">
        <w:t>elder abuse</w:t>
      </w:r>
    </w:p>
    <w:p w:rsidR="00000000" w:rsidRPr="003E7274" w:rsidP="003E7274">
      <w:pPr>
        <w:pStyle w:val="ListBullet"/>
      </w:pPr>
      <w:r w:rsidRPr="003E7274">
        <w:t>nursing assessments of the older person:</w:t>
      </w:r>
    </w:p>
    <w:p w:rsidR="00000000" w:rsidRPr="003E7274" w:rsidP="003E7274">
      <w:pPr>
        <w:pStyle w:val="ListBullet2"/>
      </w:pPr>
      <w:r w:rsidRPr="003E7274">
        <w:t>nutritional assessment</w:t>
      </w:r>
    </w:p>
    <w:p w:rsidR="00000000" w:rsidRPr="003E7274" w:rsidP="003E7274">
      <w:pPr>
        <w:pStyle w:val="ListBullet2"/>
      </w:pPr>
      <w:r w:rsidRPr="003E7274">
        <w:t xml:space="preserve">skin assessment </w:t>
      </w:r>
    </w:p>
    <w:p w:rsidR="00000000" w:rsidRPr="003E7274" w:rsidP="003E7274">
      <w:pPr>
        <w:pStyle w:val="ListBullet2"/>
      </w:pPr>
      <w:r w:rsidRPr="003E7274">
        <w:t>continence assessment</w:t>
      </w:r>
    </w:p>
    <w:p w:rsidR="00000000" w:rsidRPr="003E7274" w:rsidP="003E7274">
      <w:pPr>
        <w:pStyle w:val="ListBullet"/>
      </w:pPr>
      <w:r w:rsidRPr="003E7274">
        <w:t>physiology of the ageing process as it relates to disease processes:</w:t>
      </w:r>
    </w:p>
    <w:p w:rsidR="00000000" w:rsidRPr="003E7274" w:rsidP="003E7274">
      <w:pPr>
        <w:pStyle w:val="ListBullet2"/>
      </w:pPr>
      <w:r w:rsidRPr="003E7274">
        <w:t>sensory function</w:t>
      </w:r>
    </w:p>
    <w:p w:rsidR="00000000" w:rsidRPr="003E7274" w:rsidP="003E7274">
      <w:pPr>
        <w:pStyle w:val="ListBullet2"/>
      </w:pPr>
      <w:r w:rsidRPr="003E7274">
        <w:t>cardiac function</w:t>
      </w:r>
    </w:p>
    <w:p w:rsidR="00000000" w:rsidRPr="003E7274" w:rsidP="003E7274">
      <w:pPr>
        <w:pStyle w:val="ListBullet2"/>
      </w:pPr>
      <w:r w:rsidRPr="003E7274">
        <w:t>respiratory function</w:t>
      </w:r>
    </w:p>
    <w:p w:rsidR="00000000" w:rsidRPr="003E7274" w:rsidP="003E7274">
      <w:pPr>
        <w:pStyle w:val="ListBullet2"/>
      </w:pPr>
      <w:r w:rsidRPr="003E7274">
        <w:t>neurological function</w:t>
      </w:r>
    </w:p>
    <w:p w:rsidR="00000000" w:rsidRPr="003E7274" w:rsidP="003E7274">
      <w:pPr>
        <w:pStyle w:val="ListBullet2"/>
      </w:pPr>
      <w:r w:rsidRPr="003E7274">
        <w:t>musculoskeletal function</w:t>
      </w:r>
    </w:p>
    <w:p w:rsidR="00000000" w:rsidRPr="003E7274" w:rsidP="003E7274">
      <w:pPr>
        <w:pStyle w:val="ListBullet2"/>
      </w:pPr>
      <w:r w:rsidRPr="003E7274">
        <w:t>genitourinary function</w:t>
      </w:r>
    </w:p>
    <w:p w:rsidR="00000000" w:rsidRPr="003E7274" w:rsidP="003E7274">
      <w:pPr>
        <w:pStyle w:val="ListBullet2"/>
      </w:pPr>
      <w:r w:rsidRPr="003E7274">
        <w:t>endocrine function</w:t>
      </w:r>
    </w:p>
    <w:p w:rsidR="00000000" w:rsidRPr="003E7274" w:rsidP="003E7274">
      <w:pPr>
        <w:pStyle w:val="ListBullet2"/>
      </w:pPr>
      <w:r w:rsidRPr="003E7274">
        <w:t>renal function</w:t>
      </w:r>
    </w:p>
    <w:p w:rsidR="00000000" w:rsidRPr="003E7274" w:rsidP="003E7274">
      <w:pPr>
        <w:pStyle w:val="ListBullet2"/>
      </w:pPr>
      <w:r w:rsidRPr="003E7274">
        <w:t>oncological disorders</w:t>
      </w:r>
    </w:p>
    <w:p w:rsidR="00000000" w:rsidRPr="003E7274" w:rsidP="003E7274">
      <w:pPr>
        <w:pStyle w:val="ListBullet2"/>
      </w:pPr>
      <w:r w:rsidRPr="003E7274">
        <w:t>integumentary functions.</w:t>
      </w:r>
    </w:p>
    <w:p w:rsidR="00000000" w:rsidRPr="003E7274" w:rsidP="003E7274">
      <w:pPr>
        <w:pStyle w:val="AllowPageBreak"/>
      </w:pPr>
    </w:p>
    <w:p w:rsidR="00000000" w:rsidRPr="003E7274" w:rsidP="003E7274">
      <w:pPr>
        <w:pStyle w:val="Heading1"/>
      </w:pPr>
      <w:bookmarkStart w:id="4" w:name="O_1200469"/>
      <w:bookmarkEnd w:id="4"/>
      <w:r w:rsidRPr="003E7274">
        <w:t>Assessment Conditions</w:t>
      </w:r>
    </w:p>
    <w:p w:rsidR="00000000" w:rsidRPr="003E7274" w:rsidP="00B56917">
      <w:pPr>
        <w:pStyle w:val="BodyText"/>
      </w:pPr>
      <w:r w:rsidRPr="003E7274">
        <w:t>To be eligible to apply for registration as an enrolled nurse and to practice in Australia, each applicant must complete a Diploma of Nursing program accredited by the Australian Nursing and Midwifery Accreditation Council (ANMAC) and approved as ‘an appro</w:t>
      </w:r>
      <w:r w:rsidRPr="003E7274">
        <w:t xml:space="preserve">ved program of study’ by the Nursing and Midwifery Board of Australia (NMBA) in accordance with the Enrolled Nurse Accreditation Standards. </w:t>
      </w:r>
    </w:p>
    <w:p w:rsidR="00000000" w:rsidRPr="003E7274" w:rsidP="00B56917">
      <w:pPr>
        <w:pStyle w:val="BodyText"/>
      </w:pPr>
      <w:r w:rsidRPr="003E7274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FD03BE">
        <w:rPr>
          <w:rStyle w:val="Hyperlink"/>
        </w:rPr>
        <w:t>https://www.ahpra.gov.au</w:t>
      </w:r>
      <w:r>
        <w:fldChar w:fldCharType="end"/>
      </w:r>
      <w:r w:rsidRPr="003E7274">
        <w:t xml:space="preserve">. </w:t>
      </w:r>
    </w:p>
    <w:p w:rsidR="00000000" w:rsidRPr="003E7274" w:rsidP="00B56917">
      <w:pPr>
        <w:pStyle w:val="BodyText"/>
      </w:pPr>
      <w:r w:rsidRPr="003E7274">
        <w:t>Skills must be demonstrated in the workplace or in a simulated env</w:t>
      </w:r>
      <w:r w:rsidRPr="003E7274">
        <w:t>ironment as specified in the performance evidence that model industry operating conditions including access to real people for simulations and scenarios in enrolled nursing work.</w:t>
      </w:r>
    </w:p>
    <w:p w:rsidR="00000000" w:rsidRPr="003E7274" w:rsidP="00B56917">
      <w:pPr>
        <w:pStyle w:val="BodyText"/>
      </w:pPr>
      <w:r w:rsidRPr="003E7274">
        <w:t>Assessors must satisfy the Standards for Registered Training Organisations’ r</w:t>
      </w:r>
      <w:r w:rsidRPr="003E7274">
        <w:t>equirements for assessors.</w:t>
      </w:r>
    </w:p>
    <w:p w:rsidR="00000000" w:rsidRPr="003E7274" w:rsidP="00B56917">
      <w:pPr>
        <w:pStyle w:val="BodyText"/>
      </w:pPr>
      <w:r w:rsidRPr="003E7274">
        <w:t>Assessors must also hold current registration as a registered nurse with the Nursing and Midwifery Board of Australia (NMBA).</w:t>
      </w:r>
    </w:p>
    <w:p w:rsidR="00000000" w:rsidRPr="003E7274" w:rsidP="003E7274">
      <w:pPr>
        <w:pStyle w:val="Heading1"/>
      </w:pPr>
      <w:bookmarkStart w:id="5" w:name="O_1200483"/>
      <w:bookmarkEnd w:id="5"/>
      <w:r w:rsidRPr="003E7274">
        <w:t>Links</w:t>
      </w:r>
    </w:p>
    <w:p w:rsidR="00000000" w:rsidRPr="003E7274" w:rsidP="00B56917">
      <w:pPr>
        <w:pStyle w:val="BodyText"/>
      </w:pPr>
      <w:r w:rsidRPr="003E72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D03B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E7274" w:rsidP="003E7274"/>
    <w:sectPr w:rsidSect="003E72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74" w:rsidRPr="00B56917" w:rsidP="00B569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17" w:rsidP="003E72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6917" w:rsidP="003E72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6917" w:rsidP="003E72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274" w:rsidRPr="00B56917" w:rsidP="00B569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17" w:rsidRPr="002D2AF8" w:rsidP="003E72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HLTENN045 Implement and monitor care of the older person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56917" w:rsidP="003E72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E07B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B06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60EC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2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2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2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2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2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2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2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2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2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2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2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274"/>
  </w:style>
  <w:style w:type="character" w:customStyle="1" w:styleId="Heading1Char">
    <w:name w:val="Heading 1 Char"/>
    <w:basedOn w:val="DefaultParagraphFont"/>
    <w:link w:val="Heading1"/>
    <w:rsid w:val="003E72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2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2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2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274"/>
    <w:rPr>
      <w:b/>
      <w:spacing w:val="0"/>
    </w:rPr>
  </w:style>
  <w:style w:type="paragraph" w:styleId="ListBullet2">
    <w:name w:val="List Bullet 2"/>
    <w:basedOn w:val="List2"/>
    <w:rsid w:val="003E72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72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2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2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2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2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2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2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2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2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2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2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2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2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2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2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2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2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2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2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2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2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2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2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2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2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2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2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2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2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2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274"/>
    <w:rPr>
      <w:i/>
    </w:rPr>
  </w:style>
  <w:style w:type="paragraph" w:styleId="Caption">
    <w:name w:val="caption"/>
    <w:basedOn w:val="BodyText"/>
    <w:next w:val="Normal"/>
    <w:qFormat/>
    <w:rsid w:val="003E72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2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2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274"/>
  </w:style>
  <w:style w:type="paragraph" w:styleId="TableofFigures">
    <w:name w:val="table of figures"/>
    <w:basedOn w:val="Normal"/>
    <w:next w:val="Normal"/>
    <w:semiHidden/>
    <w:rsid w:val="003E72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2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7274"/>
    <w:rPr>
      <w:rFonts w:ascii="Wingdings" w:hAnsi="Wingdings"/>
    </w:rPr>
  </w:style>
  <w:style w:type="paragraph" w:customStyle="1" w:styleId="TableHeading">
    <w:name w:val="Table Heading"/>
    <w:basedOn w:val="HeadingBase"/>
    <w:rsid w:val="003E72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274"/>
    <w:rPr>
      <w:color w:val="0033CC"/>
      <w:u w:val="none"/>
    </w:rPr>
  </w:style>
  <w:style w:type="paragraph" w:customStyle="1" w:styleId="BodyTextRight">
    <w:name w:val="Body Text Right"/>
    <w:basedOn w:val="BodyText"/>
    <w:rsid w:val="003E72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2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2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2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2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2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274"/>
    <w:rPr>
      <w:sz w:val="32"/>
    </w:rPr>
  </w:style>
  <w:style w:type="paragraph" w:customStyle="1" w:styleId="HeadingProcedure">
    <w:name w:val="Heading Procedure"/>
    <w:basedOn w:val="HeadingBase"/>
    <w:next w:val="Normal"/>
    <w:rsid w:val="003E72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274"/>
    <w:pPr>
      <w:spacing w:before="60" w:after="60"/>
    </w:pPr>
  </w:style>
  <w:style w:type="paragraph" w:styleId="ListContinue">
    <w:name w:val="List Continue"/>
    <w:basedOn w:val="List"/>
    <w:rsid w:val="003E7274"/>
    <w:pPr>
      <w:ind w:firstLine="0"/>
    </w:pPr>
  </w:style>
  <w:style w:type="paragraph" w:customStyle="1" w:styleId="ListNote">
    <w:name w:val="List Note"/>
    <w:basedOn w:val="List"/>
    <w:rsid w:val="003E72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2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2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274"/>
    <w:rPr>
      <w:rFonts w:ascii="Courier New" w:hAnsi="Courier New"/>
    </w:rPr>
  </w:style>
  <w:style w:type="paragraph" w:customStyle="1" w:styleId="NoteBullet">
    <w:name w:val="Note Bullet"/>
    <w:basedOn w:val="Note"/>
    <w:rsid w:val="003E72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2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2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2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2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72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2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274"/>
    <w:rPr>
      <w:b/>
      <w:smallCaps/>
    </w:rPr>
  </w:style>
  <w:style w:type="paragraph" w:customStyle="1" w:styleId="TableListNumber">
    <w:name w:val="Table List Number"/>
    <w:basedOn w:val="ListNumber"/>
    <w:rsid w:val="003E72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2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274"/>
    <w:pPr>
      <w:numPr>
        <w:numId w:val="9"/>
      </w:numPr>
    </w:pPr>
  </w:style>
  <w:style w:type="paragraph" w:customStyle="1" w:styleId="ListAlpha2">
    <w:name w:val="List Alpha 2"/>
    <w:basedOn w:val="List2"/>
    <w:rsid w:val="003E7274"/>
    <w:pPr>
      <w:numPr>
        <w:numId w:val="8"/>
      </w:numPr>
    </w:pPr>
  </w:style>
  <w:style w:type="paragraph" w:styleId="List2">
    <w:name w:val="List 2"/>
    <w:basedOn w:val="BodyText"/>
    <w:rsid w:val="003E72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2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2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2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2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2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7274"/>
    <w:pPr>
      <w:numPr>
        <w:numId w:val="4"/>
      </w:numPr>
    </w:pPr>
  </w:style>
  <w:style w:type="paragraph" w:styleId="ListContinue2">
    <w:name w:val="List Continue 2"/>
    <w:basedOn w:val="List2"/>
    <w:rsid w:val="003E7274"/>
    <w:pPr>
      <w:ind w:firstLine="0"/>
    </w:pPr>
  </w:style>
  <w:style w:type="paragraph" w:styleId="ListContinue3">
    <w:name w:val="List Continue 3"/>
    <w:basedOn w:val="List3"/>
    <w:rsid w:val="003E7274"/>
    <w:pPr>
      <w:ind w:left="1021" w:firstLine="0"/>
    </w:pPr>
  </w:style>
  <w:style w:type="paragraph" w:styleId="ListContinue4">
    <w:name w:val="List Continue 4"/>
    <w:basedOn w:val="List4"/>
    <w:rsid w:val="003E7274"/>
    <w:pPr>
      <w:ind w:firstLine="0"/>
    </w:pPr>
  </w:style>
  <w:style w:type="paragraph" w:styleId="ListContinue5">
    <w:name w:val="List Continue 5"/>
    <w:basedOn w:val="List5"/>
    <w:rsid w:val="003E7274"/>
    <w:pPr>
      <w:ind w:firstLine="0"/>
    </w:pPr>
  </w:style>
  <w:style w:type="paragraph" w:styleId="ListNumber3">
    <w:name w:val="List Number 3"/>
    <w:basedOn w:val="List3"/>
    <w:rsid w:val="003E7274"/>
    <w:pPr>
      <w:numPr>
        <w:numId w:val="5"/>
      </w:numPr>
    </w:pPr>
  </w:style>
  <w:style w:type="paragraph" w:styleId="ListNumber4">
    <w:name w:val="List Number 4"/>
    <w:basedOn w:val="List4"/>
    <w:rsid w:val="003E7274"/>
    <w:pPr>
      <w:numPr>
        <w:numId w:val="6"/>
      </w:numPr>
    </w:pPr>
  </w:style>
  <w:style w:type="paragraph" w:styleId="ListNumber5">
    <w:name w:val="List Number 5"/>
    <w:basedOn w:val="List5"/>
    <w:rsid w:val="003E7274"/>
    <w:pPr>
      <w:numPr>
        <w:numId w:val="7"/>
      </w:numPr>
    </w:pPr>
  </w:style>
  <w:style w:type="paragraph" w:styleId="BlockText">
    <w:name w:val="Block Text"/>
    <w:basedOn w:val="Normal"/>
    <w:rsid w:val="003E72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2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274"/>
    <w:rPr>
      <w:sz w:val="16"/>
      <w:vertAlign w:val="superscript"/>
    </w:rPr>
  </w:style>
  <w:style w:type="character" w:customStyle="1" w:styleId="Symbols">
    <w:name w:val="Symbols"/>
    <w:basedOn w:val="DefaultParagraphFont"/>
    <w:rsid w:val="003E7274"/>
    <w:rPr>
      <w:rFonts w:ascii="Symbol" w:hAnsi="Symbol"/>
    </w:rPr>
  </w:style>
  <w:style w:type="character" w:customStyle="1" w:styleId="MenuOptions">
    <w:name w:val="Menu Options"/>
    <w:basedOn w:val="DefaultParagraphFont"/>
    <w:rsid w:val="003E72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274"/>
    <w:rPr>
      <w:b/>
    </w:rPr>
  </w:style>
  <w:style w:type="character" w:customStyle="1" w:styleId="Underlined">
    <w:name w:val="Underlined"/>
    <w:basedOn w:val="DefaultParagraphFont"/>
    <w:rsid w:val="003E7274"/>
    <w:rPr>
      <w:u w:val="single"/>
    </w:rPr>
  </w:style>
  <w:style w:type="paragraph" w:customStyle="1" w:styleId="TableBodyTextRight">
    <w:name w:val="Table Body Text Right"/>
    <w:basedOn w:val="TableBodyText"/>
    <w:rsid w:val="003E72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274"/>
    <w:rPr>
      <w:sz w:val="18"/>
    </w:rPr>
  </w:style>
  <w:style w:type="paragraph" w:customStyle="1" w:styleId="BodySmallRight">
    <w:name w:val="Body Small Right"/>
    <w:basedOn w:val="BodyTextRight"/>
    <w:rsid w:val="003E7274"/>
    <w:rPr>
      <w:sz w:val="18"/>
      <w:szCs w:val="18"/>
    </w:rPr>
  </w:style>
  <w:style w:type="paragraph" w:customStyle="1" w:styleId="MarginEdition">
    <w:name w:val="Margin Edition"/>
    <w:basedOn w:val="MarginNote"/>
    <w:rsid w:val="003E72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274"/>
    <w:rPr>
      <w:sz w:val="2"/>
      <w:szCs w:val="2"/>
    </w:rPr>
  </w:style>
  <w:style w:type="character" w:customStyle="1" w:styleId="Small">
    <w:name w:val="Small"/>
    <w:basedOn w:val="DefaultParagraphFont"/>
    <w:rsid w:val="003E7274"/>
    <w:rPr>
      <w:sz w:val="16"/>
    </w:rPr>
  </w:style>
  <w:style w:type="paragraph" w:customStyle="1" w:styleId="WideTable">
    <w:name w:val="Wide Table"/>
    <w:basedOn w:val="Normal"/>
    <w:rsid w:val="003E72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274"/>
  </w:style>
  <w:style w:type="paragraph" w:styleId="Quote">
    <w:name w:val="Quote"/>
    <w:basedOn w:val="Heading1"/>
    <w:link w:val="QuoteChar"/>
    <w:qFormat/>
    <w:rsid w:val="003E72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2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274"/>
    <w:pPr>
      <w:pageBreakBefore/>
    </w:pPr>
  </w:style>
  <w:style w:type="paragraph" w:customStyle="1" w:styleId="Border">
    <w:name w:val="Border"/>
    <w:basedOn w:val="Normal"/>
    <w:qFormat/>
    <w:rsid w:val="003E72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2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2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2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2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2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2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2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2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274"/>
    <w:rPr>
      <w:u w:val="single"/>
    </w:rPr>
  </w:style>
  <w:style w:type="character" w:customStyle="1" w:styleId="BoldandItalics">
    <w:name w:val="Bold and Italics"/>
    <w:qFormat/>
    <w:rsid w:val="003E7274"/>
    <w:rPr>
      <w:b/>
      <w:i/>
      <w:u w:val="none"/>
    </w:rPr>
  </w:style>
  <w:style w:type="paragraph" w:styleId="BalloonText">
    <w:name w:val="Balloon Text"/>
    <w:basedOn w:val="Normal"/>
    <w:link w:val="BalloonTextChar"/>
    <w:rsid w:val="003E72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2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2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2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2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2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274"/>
    <w:pPr>
      <w:spacing w:before="0" w:after="0"/>
    </w:pPr>
  </w:style>
  <w:style w:type="paragraph" w:customStyle="1" w:styleId="BodyTextBold">
    <w:name w:val="Body Text Bold"/>
    <w:basedOn w:val="BodyText"/>
    <w:qFormat/>
    <w:rsid w:val="003E7274"/>
    <w:rPr>
      <w:b/>
    </w:rPr>
  </w:style>
  <w:style w:type="character" w:styleId="Hyperlink">
    <w:name w:val="Hyperlink"/>
    <w:basedOn w:val="DefaultParagraphFont"/>
    <w:uiPriority w:val="99"/>
    <w:unhideWhenUsed/>
    <w:rsid w:val="00B569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4358</Characters>
  <Application>Microsoft Office Word</Application>
  <DocSecurity>0</DocSecurity>
  <Lines>117</Lines>
  <Paragraphs>88</Paragraphs>
  <ScaleCrop>false</ScaleCrop>
  <Company>Author-it Software Corporation Ltd.</Company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HLTENN045 Implement and monitor care of the older person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