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88B" w:rsidP="00535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HLTENN044 Implement and monitor care for a person with chronic health conditions</w:t>
      </w:r>
      <w:r>
        <w:fldChar w:fldCharType="end"/>
      </w:r>
    </w:p>
    <w:p w:rsidR="0053588B" w:rsidP="0053588B">
      <w:pPr>
        <w:pStyle w:val="Version"/>
        <w:sectPr w:rsidSect="00EF5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56D6" w:rsidP="00EF56D6">
      <w:pPr>
        <w:pStyle w:val="SuperHeading"/>
      </w:pPr>
      <w:r w:rsidRPr="00EF56D6">
        <w:t>Assessment Requirements for HLTENN044 Implement and monitor care for a person with chronic health conditions</w:t>
      </w:r>
    </w:p>
    <w:p w:rsidR="00000000" w:rsidRPr="00EF56D6" w:rsidP="00EF56D6">
      <w:pPr>
        <w:pStyle w:val="Heading1"/>
      </w:pPr>
      <w:bookmarkStart w:id="1" w:name="O_1199959"/>
      <w:bookmarkEnd w:id="1"/>
      <w:r w:rsidRPr="00EF56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EF5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56D6" w:rsidP="00EF56D6">
            <w:pPr>
              <w:pStyle w:val="BodyText"/>
            </w:pPr>
            <w:r w:rsidRPr="00EF56D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56D6">
            <w:pPr>
              <w:pStyle w:val="BodyText"/>
              <w:rPr>
                <w:lang w:val="en-NZ"/>
              </w:rPr>
            </w:pPr>
            <w:r w:rsidRPr="00EF56D6">
              <w:rPr>
                <w:rStyle w:val="SpecialBold"/>
              </w:rPr>
              <w:t>Comments</w:t>
            </w:r>
          </w:p>
        </w:tc>
      </w:tr>
      <w:tr w:rsidTr="00EF5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6D6">
            <w:pPr>
              <w:pStyle w:val="BodyText"/>
              <w:rPr>
                <w:lang w:val="en-NZ"/>
              </w:rPr>
            </w:pPr>
            <w:r w:rsidRPr="00EF56D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6D6" w:rsidP="00EF56D6">
            <w:pPr>
              <w:pStyle w:val="BodyText"/>
            </w:pPr>
            <w:r w:rsidRPr="00EF56D6">
              <w:t xml:space="preserve">Release 2 HLTENN044 Implement and monitor care for a person with chronic health conditions supersedes and is equivalent to Release 1 HLTENN044 Implement and monitor care for a person with chronic health conditions. </w:t>
            </w:r>
          </w:p>
          <w:p w:rsidR="00000000" w:rsidRPr="00EF56D6" w:rsidP="00EF56D6">
            <w:pPr>
              <w:pStyle w:val="BodyText"/>
            </w:pPr>
            <w:r w:rsidRPr="00EF56D6">
              <w:t>Updated:</w:t>
            </w:r>
          </w:p>
          <w:p w:rsidR="00000000" w:rsidP="00EF56D6">
            <w:pPr>
              <w:pStyle w:val="BodyText"/>
              <w:rPr>
                <w:lang w:val="en-NZ"/>
              </w:rPr>
            </w:pPr>
            <w:r w:rsidRPr="00EF56D6">
              <w:t>Mapping details and minor corre</w:t>
            </w:r>
            <w:r w:rsidRPr="00EF56D6">
              <w:t>ctions.</w:t>
            </w:r>
          </w:p>
        </w:tc>
      </w:tr>
      <w:tr w:rsidTr="00EF5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6D6">
            <w:pPr>
              <w:pStyle w:val="BodyText"/>
              <w:rPr>
                <w:lang w:val="en-NZ"/>
              </w:rPr>
            </w:pPr>
            <w:r w:rsidRPr="00EF56D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6D6" w:rsidP="00EF56D6">
            <w:pPr>
              <w:pStyle w:val="BodyText"/>
            </w:pPr>
            <w:r w:rsidRPr="00EF56D6">
              <w:t xml:space="preserve">HLTENN044 Implement and monitor care for a person with chronic health conditions supersedes and is not equivalent to HLTENN012 Implement and monitor care for a person with chronic health problems and HLTENN005 Contribute to nursing care </w:t>
            </w:r>
            <w:r w:rsidRPr="00EF56D6">
              <w:t>of a person with complex needs.</w:t>
            </w:r>
          </w:p>
        </w:tc>
      </w:tr>
    </w:tbl>
    <w:p w:rsidR="00000000" w:rsidRPr="00EF56D6" w:rsidP="00EF56D6">
      <w:pPr>
        <w:pStyle w:val="BodyText"/>
      </w:pPr>
    </w:p>
    <w:p w:rsidR="00000000" w:rsidRPr="00EF56D6" w:rsidP="00EF56D6">
      <w:pPr>
        <w:pStyle w:val="AllowPageBreak"/>
      </w:pPr>
    </w:p>
    <w:p w:rsidR="00000000" w:rsidRPr="00EF56D6" w:rsidP="00EF56D6">
      <w:pPr>
        <w:pStyle w:val="Heading1"/>
      </w:pPr>
      <w:bookmarkStart w:id="2" w:name="O_1199958"/>
      <w:bookmarkEnd w:id="2"/>
      <w:r w:rsidRPr="00EF56D6">
        <w:t>Performance Evidence</w:t>
      </w:r>
    </w:p>
    <w:p w:rsidR="00000000" w:rsidRPr="00EF56D6" w:rsidP="0053588B">
      <w:pPr>
        <w:pStyle w:val="BodyText"/>
      </w:pPr>
      <w:r w:rsidRPr="00EF56D6">
        <w:t>Evidence of the ability to complete tasks outlined in elements and performance criteria of this unit in the context of the job role, and:</w:t>
      </w:r>
    </w:p>
    <w:p w:rsidR="00000000" w:rsidRPr="00EF56D6" w:rsidP="00EF56D6">
      <w:pPr>
        <w:pStyle w:val="ListBullet"/>
      </w:pPr>
      <w:r w:rsidRPr="00EF56D6">
        <w:t>analyse health information and clinical presentation of two persons, at least one must be Aboriginal and Torres Strait Islander</w:t>
      </w:r>
    </w:p>
    <w:p w:rsidR="00000000" w:rsidRPr="00EF56D6" w:rsidP="00EF56D6">
      <w:pPr>
        <w:pStyle w:val="ListBullet"/>
      </w:pPr>
      <w:r w:rsidRPr="00EF56D6">
        <w:t>perform nursing interventions in the workplace contributing to the support of two people who have chronic health conditions</w:t>
      </w:r>
    </w:p>
    <w:p w:rsidR="00000000" w:rsidRPr="00EF56D6" w:rsidP="0053588B">
      <w:pPr>
        <w:pStyle w:val="BodyText"/>
      </w:pPr>
      <w:r w:rsidRPr="00EF56D6">
        <w:t xml:space="preserve">The </w:t>
      </w:r>
      <w:r w:rsidRPr="00EF56D6">
        <w:t>tasks must be undertaken in accordance with the Nursing and Midwifery Board of Australia (NMBA) professional practice standards, codes and guidelines.</w:t>
      </w:r>
    </w:p>
    <w:p w:rsidR="00000000" w:rsidRPr="00EF56D6" w:rsidP="00EF56D6">
      <w:pPr>
        <w:pStyle w:val="Heading1"/>
      </w:pPr>
      <w:bookmarkStart w:id="3" w:name="O_1199957"/>
      <w:bookmarkEnd w:id="3"/>
      <w:r w:rsidRPr="00EF56D6">
        <w:t>Knowledge Evidence</w:t>
      </w:r>
    </w:p>
    <w:p w:rsidR="00000000" w:rsidRPr="00EF56D6" w:rsidP="0053588B">
      <w:pPr>
        <w:pStyle w:val="BodyText"/>
      </w:pPr>
      <w:r w:rsidRPr="00EF56D6">
        <w:t>Demonstrate knowledge required to complete tasks outlined in elemen</w:t>
      </w:r>
      <w:r w:rsidRPr="00EF56D6">
        <w:t>ts and performance criteria of this unit:</w:t>
      </w:r>
    </w:p>
    <w:p w:rsidR="00000000" w:rsidRPr="00EF56D6" w:rsidP="00EF56D6">
      <w:pPr>
        <w:pStyle w:val="ListBullet"/>
      </w:pPr>
      <w:r w:rsidRPr="00EF56D6">
        <w:t>broad context for chronic disease:</w:t>
      </w:r>
    </w:p>
    <w:p w:rsidR="00000000" w:rsidRPr="00EF56D6" w:rsidP="00EF56D6">
      <w:pPr>
        <w:pStyle w:val="ListBullet2"/>
      </w:pPr>
      <w:r w:rsidRPr="00EF56D6">
        <w:t>role of World Health Organization (WHO) in the management and prevention of chronic disease</w:t>
      </w:r>
    </w:p>
    <w:p w:rsidR="00000000" w:rsidRPr="00EF56D6" w:rsidP="00EF56D6">
      <w:pPr>
        <w:pStyle w:val="ListBullet2"/>
      </w:pPr>
      <w:r w:rsidRPr="00EF56D6">
        <w:t>Australian health priorities for chronic disease and prevention</w:t>
      </w:r>
    </w:p>
    <w:p w:rsidR="00000000" w:rsidRPr="00EF56D6" w:rsidP="00EF56D6">
      <w:pPr>
        <w:pStyle w:val="ListBullet2"/>
      </w:pPr>
      <w:r w:rsidRPr="00EF56D6">
        <w:t>common chronic health</w:t>
      </w:r>
      <w:r w:rsidRPr="00EF56D6">
        <w:t xml:space="preserve"> conditions in Australia</w:t>
      </w:r>
    </w:p>
    <w:p w:rsidR="00000000" w:rsidRPr="00EF56D6" w:rsidP="00EF56D6">
      <w:pPr>
        <w:pStyle w:val="ListBullet2"/>
      </w:pPr>
      <w:r w:rsidRPr="00EF56D6">
        <w:t>Australian health priorities for chronic disease and prevention in Aboriginal and Torres Strait Islander people</w:t>
      </w:r>
    </w:p>
    <w:p w:rsidR="00000000" w:rsidRPr="00EF56D6" w:rsidP="00EF56D6">
      <w:pPr>
        <w:pStyle w:val="ListBullet2"/>
      </w:pPr>
      <w:r w:rsidRPr="00EF56D6">
        <w:t>impacts of chronic disease:</w:t>
      </w:r>
    </w:p>
    <w:p w:rsidR="00000000" w:rsidRPr="00EF56D6" w:rsidP="00EF56D6">
      <w:pPr>
        <w:pStyle w:val="ListBullet3"/>
      </w:pPr>
      <w:r w:rsidRPr="00EF56D6">
        <w:t>social</w:t>
      </w:r>
    </w:p>
    <w:p w:rsidR="00000000" w:rsidRPr="00EF56D6" w:rsidP="00EF56D6">
      <w:pPr>
        <w:pStyle w:val="ListBullet3"/>
      </w:pPr>
      <w:r w:rsidRPr="00EF56D6">
        <w:t>emotional</w:t>
      </w:r>
    </w:p>
    <w:p w:rsidR="00000000" w:rsidRPr="00EF56D6" w:rsidP="00EF56D6">
      <w:pPr>
        <w:pStyle w:val="ListBullet3"/>
      </w:pPr>
      <w:r w:rsidRPr="00EF56D6">
        <w:t>physical</w:t>
      </w:r>
    </w:p>
    <w:p w:rsidR="00000000" w:rsidRPr="00EF56D6" w:rsidP="00EF56D6">
      <w:pPr>
        <w:pStyle w:val="ListBullet3"/>
      </w:pPr>
      <w:r w:rsidRPr="00EF56D6">
        <w:t>psychological</w:t>
      </w:r>
    </w:p>
    <w:p w:rsidR="00000000" w:rsidRPr="00EF56D6" w:rsidP="00EF56D6">
      <w:pPr>
        <w:pStyle w:val="ListBullet3"/>
      </w:pPr>
      <w:r w:rsidRPr="00EF56D6">
        <w:t>financial</w:t>
      </w:r>
    </w:p>
    <w:p w:rsidR="00000000" w:rsidRPr="00EF56D6" w:rsidP="00EF56D6">
      <w:pPr>
        <w:pStyle w:val="ListBullet"/>
      </w:pPr>
      <w:r w:rsidRPr="00EF56D6">
        <w:t>rehabilitation strategies and equipment used for treatment of chronic health conditions:</w:t>
      </w:r>
    </w:p>
    <w:p w:rsidR="00000000" w:rsidRPr="00EF56D6" w:rsidP="00EF56D6">
      <w:pPr>
        <w:pStyle w:val="ListBullet2"/>
      </w:pPr>
      <w:r w:rsidRPr="00EF56D6">
        <w:t>physiotherapy</w:t>
      </w:r>
    </w:p>
    <w:p w:rsidR="00000000" w:rsidRPr="00EF56D6" w:rsidP="00EF56D6">
      <w:pPr>
        <w:pStyle w:val="ListBullet2"/>
      </w:pPr>
      <w:r w:rsidRPr="00EF56D6">
        <w:t xml:space="preserve">diabetic support </w:t>
      </w:r>
    </w:p>
    <w:p w:rsidR="00000000" w:rsidRPr="00EF56D6" w:rsidP="00EF56D6">
      <w:pPr>
        <w:pStyle w:val="ListBullet2"/>
      </w:pPr>
      <w:r w:rsidRPr="00EF56D6">
        <w:t>occupational therapy</w:t>
      </w:r>
    </w:p>
    <w:p w:rsidR="00000000" w:rsidRPr="00EF56D6" w:rsidP="00EF56D6">
      <w:pPr>
        <w:pStyle w:val="ListBullet2"/>
      </w:pPr>
      <w:r w:rsidRPr="00EF56D6">
        <w:t>hydrotherapy</w:t>
      </w:r>
    </w:p>
    <w:p w:rsidR="00000000" w:rsidRPr="00EF56D6" w:rsidP="00EF56D6">
      <w:pPr>
        <w:pStyle w:val="ListBullet2"/>
      </w:pPr>
      <w:r w:rsidRPr="00EF56D6">
        <w:t xml:space="preserve">complementary therapies </w:t>
      </w:r>
    </w:p>
    <w:p w:rsidR="00000000" w:rsidRPr="00EF56D6" w:rsidP="00EF56D6">
      <w:pPr>
        <w:pStyle w:val="ListBullet2"/>
      </w:pPr>
      <w:r w:rsidRPr="00EF56D6">
        <w:t xml:space="preserve">ambulatory aids </w:t>
      </w:r>
    </w:p>
    <w:p w:rsidR="00000000" w:rsidRPr="00EF56D6" w:rsidP="00EF56D6">
      <w:pPr>
        <w:pStyle w:val="ListBullet2"/>
      </w:pPr>
      <w:r w:rsidRPr="00EF56D6">
        <w:t>prosthetic devices</w:t>
      </w:r>
    </w:p>
    <w:p w:rsidR="00000000" w:rsidRPr="00EF56D6" w:rsidP="00EF56D6">
      <w:pPr>
        <w:pStyle w:val="ListBullet"/>
      </w:pPr>
      <w:r w:rsidRPr="00EF56D6">
        <w:t>chronic health conditions:</w:t>
      </w:r>
    </w:p>
    <w:p w:rsidR="00000000" w:rsidRPr="00EF56D6" w:rsidP="00EF56D6">
      <w:pPr>
        <w:pStyle w:val="ListBullet2"/>
      </w:pPr>
      <w:r w:rsidRPr="00EF56D6">
        <w:t>renal disorders</w:t>
      </w:r>
    </w:p>
    <w:p w:rsidR="00000000" w:rsidRPr="00EF56D6" w:rsidP="00EF56D6">
      <w:pPr>
        <w:pStyle w:val="ListBullet2"/>
      </w:pPr>
      <w:r w:rsidRPr="00EF56D6">
        <w:t>gastrointestinal disorders</w:t>
      </w:r>
    </w:p>
    <w:p w:rsidR="00000000" w:rsidRPr="00EF56D6" w:rsidP="00EF56D6">
      <w:pPr>
        <w:pStyle w:val="ListBullet2"/>
      </w:pPr>
      <w:r w:rsidRPr="00EF56D6">
        <w:t>neurological disorders</w:t>
      </w:r>
    </w:p>
    <w:p w:rsidR="00000000" w:rsidRPr="00EF56D6" w:rsidP="00EF56D6">
      <w:pPr>
        <w:pStyle w:val="ListBullet2"/>
      </w:pPr>
      <w:r w:rsidRPr="00EF56D6">
        <w:t>respiratory disorders</w:t>
      </w:r>
    </w:p>
    <w:p w:rsidR="00000000" w:rsidRPr="00EF56D6" w:rsidP="00EF56D6">
      <w:pPr>
        <w:pStyle w:val="ListBullet2"/>
      </w:pPr>
      <w:r w:rsidRPr="00EF56D6">
        <w:t>cardiovascular disorders</w:t>
      </w:r>
    </w:p>
    <w:p w:rsidR="00000000" w:rsidRPr="00EF56D6" w:rsidP="00EF56D6">
      <w:pPr>
        <w:pStyle w:val="ListBullet2"/>
      </w:pPr>
      <w:r w:rsidRPr="00EF56D6">
        <w:t>integumentary disorders</w:t>
      </w:r>
    </w:p>
    <w:p w:rsidR="00000000" w:rsidRPr="00EF56D6" w:rsidP="00EF56D6">
      <w:pPr>
        <w:pStyle w:val="ListBullet2"/>
      </w:pPr>
      <w:r w:rsidRPr="00EF56D6">
        <w:t xml:space="preserve">central nervous system disorders </w:t>
      </w:r>
    </w:p>
    <w:p w:rsidR="00000000" w:rsidRPr="00EF56D6" w:rsidP="00EF56D6">
      <w:pPr>
        <w:pStyle w:val="ListBullet2"/>
      </w:pPr>
      <w:r w:rsidRPr="00EF56D6">
        <w:t>musculoskeletal disorders</w:t>
      </w:r>
    </w:p>
    <w:p w:rsidR="00000000" w:rsidRPr="00EF56D6" w:rsidP="00EF56D6">
      <w:pPr>
        <w:pStyle w:val="ListBullet2"/>
      </w:pPr>
      <w:r w:rsidRPr="00EF56D6">
        <w:t>reproductive disorders</w:t>
      </w:r>
    </w:p>
    <w:p w:rsidR="00000000" w:rsidRPr="00EF56D6" w:rsidP="00EF56D6">
      <w:pPr>
        <w:pStyle w:val="ListBullet2"/>
      </w:pPr>
      <w:r w:rsidRPr="00EF56D6">
        <w:t>sensory disorders</w:t>
      </w:r>
    </w:p>
    <w:p w:rsidR="00000000" w:rsidRPr="00EF56D6" w:rsidP="00EF56D6">
      <w:pPr>
        <w:pStyle w:val="ListBullet2"/>
      </w:pPr>
      <w:r w:rsidRPr="00EF56D6">
        <w:t>endocrine disorders</w:t>
      </w:r>
    </w:p>
    <w:p w:rsidR="00000000" w:rsidRPr="00EF56D6" w:rsidP="00EF56D6">
      <w:pPr>
        <w:pStyle w:val="ListBullet"/>
      </w:pPr>
      <w:r w:rsidRPr="00EF56D6">
        <w:t>techniques for performing nursing interventions</w:t>
      </w:r>
    </w:p>
    <w:p w:rsidR="00000000" w:rsidRPr="00EF56D6" w:rsidP="00EF56D6">
      <w:pPr>
        <w:pStyle w:val="ListBullet"/>
      </w:pPr>
      <w:r w:rsidRPr="00EF56D6">
        <w:t>strategies to address and manage chronic disease in the relevant work context:</w:t>
      </w:r>
    </w:p>
    <w:p w:rsidR="00000000" w:rsidRPr="00EF56D6" w:rsidP="00EF56D6">
      <w:pPr>
        <w:pStyle w:val="ListBullet2"/>
      </w:pPr>
      <w:r w:rsidRPr="00EF56D6">
        <w:t>prevention</w:t>
      </w:r>
    </w:p>
    <w:p w:rsidR="00000000" w:rsidRPr="00EF56D6" w:rsidP="00EF56D6">
      <w:pPr>
        <w:pStyle w:val="ListBullet2"/>
      </w:pPr>
      <w:r w:rsidRPr="00EF56D6">
        <w:t>use of treatments</w:t>
      </w:r>
    </w:p>
    <w:p w:rsidR="00000000" w:rsidRPr="00EF56D6" w:rsidP="00EF56D6">
      <w:pPr>
        <w:pStyle w:val="ListBullet2"/>
      </w:pPr>
      <w:r w:rsidRPr="00EF56D6">
        <w:t>principles of and practices for person-focused nursing practice</w:t>
      </w:r>
    </w:p>
    <w:p w:rsidR="00000000" w:rsidRPr="00EF56D6" w:rsidP="00EF56D6">
      <w:pPr>
        <w:pStyle w:val="ListBullet2"/>
      </w:pPr>
      <w:r w:rsidRPr="00EF56D6">
        <w:t>maintenance of</w:t>
      </w:r>
      <w:r w:rsidRPr="00EF56D6">
        <w:t xml:space="preserve"> positive life roles</w:t>
      </w:r>
    </w:p>
    <w:p w:rsidR="00000000" w:rsidRPr="00EF56D6" w:rsidP="00EF56D6">
      <w:pPr>
        <w:pStyle w:val="ListBullet2"/>
      </w:pPr>
      <w:r w:rsidRPr="00EF56D6">
        <w:t>behavioural changes</w:t>
      </w:r>
    </w:p>
    <w:p w:rsidR="00000000" w:rsidRPr="00EF56D6" w:rsidP="00EF56D6">
      <w:pPr>
        <w:pStyle w:val="ListBullet2"/>
      </w:pPr>
      <w:r w:rsidRPr="00EF56D6">
        <w:t>stages of change to establish readiness for attitudinal and behavioural change</w:t>
      </w:r>
    </w:p>
    <w:p w:rsidR="00000000" w:rsidRPr="00EF56D6" w:rsidP="00EF56D6">
      <w:pPr>
        <w:pStyle w:val="ListBullet2"/>
      </w:pPr>
      <w:r w:rsidRPr="00EF56D6">
        <w:t>principles of optimal restorative, palliative and end of life care</w:t>
      </w:r>
    </w:p>
    <w:p w:rsidR="00000000" w:rsidRPr="00EF56D6" w:rsidP="00EF56D6">
      <w:pPr>
        <w:pStyle w:val="ListBullet"/>
      </w:pPr>
      <w:r w:rsidRPr="00EF56D6">
        <w:t>role of Congress of Aboriginal and Torres Strait Islander Nurses and</w:t>
      </w:r>
      <w:r w:rsidRPr="00EF56D6">
        <w:t xml:space="preserve"> Midwives (CATSINaM)</w:t>
      </w:r>
    </w:p>
    <w:p w:rsidR="00000000" w:rsidRPr="00EF56D6" w:rsidP="00EF56D6">
      <w:pPr>
        <w:pStyle w:val="ListBullet"/>
      </w:pPr>
      <w:r w:rsidRPr="00EF56D6">
        <w:t>Aboriginal and Torres Strait Islander health and principles of cultural safety.</w:t>
      </w:r>
    </w:p>
    <w:p w:rsidR="00000000" w:rsidRPr="00EF56D6" w:rsidP="00EF56D6">
      <w:pPr>
        <w:pStyle w:val="AllowPageBreak"/>
      </w:pPr>
    </w:p>
    <w:p w:rsidR="00000000" w:rsidRPr="00EF56D6" w:rsidP="00EF56D6">
      <w:pPr>
        <w:pStyle w:val="Heading1"/>
      </w:pPr>
      <w:bookmarkStart w:id="4" w:name="O_1199956"/>
      <w:bookmarkEnd w:id="4"/>
      <w:r w:rsidRPr="00EF56D6">
        <w:t>Assessment Conditions</w:t>
      </w:r>
    </w:p>
    <w:p w:rsidR="00000000" w:rsidRPr="00EF56D6" w:rsidP="0053588B">
      <w:pPr>
        <w:pStyle w:val="BodyText"/>
      </w:pPr>
      <w:r w:rsidRPr="00EF56D6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EF56D6">
        <w:t xml:space="preserve">ved program of study’ by the Nursing and Midwifery Board of Australia (NMBA) in accordance with the Enrolled Nurse Accreditation Standards. </w:t>
      </w:r>
    </w:p>
    <w:p w:rsidR="00000000" w:rsidRPr="00EF56D6" w:rsidP="0053588B">
      <w:pPr>
        <w:pStyle w:val="BodyText"/>
      </w:pPr>
      <w:r w:rsidRPr="00EF56D6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551414">
        <w:rPr>
          <w:rStyle w:val="Hyperlink"/>
        </w:rPr>
        <w:t>https://www.ahpra.gov.au</w:t>
      </w:r>
      <w:r>
        <w:fldChar w:fldCharType="end"/>
      </w:r>
      <w:r w:rsidRPr="00EF56D6">
        <w:t xml:space="preserve">.  </w:t>
      </w:r>
    </w:p>
    <w:p w:rsidR="00000000" w:rsidRPr="00EF56D6" w:rsidP="0053588B">
      <w:pPr>
        <w:pStyle w:val="BodyText"/>
      </w:pPr>
      <w:r w:rsidRPr="00EF56D6">
        <w:t>Skills must be demonstrated in the workplace or in a simulated en</w:t>
      </w:r>
      <w:r w:rsidRPr="00EF56D6">
        <w:t>vironment as specified in the performance evidence that model industry operating conditions including access to real people for simulations and scenarios in enrolled nursing work.</w:t>
      </w:r>
    </w:p>
    <w:p w:rsidR="00000000" w:rsidRPr="00EF56D6" w:rsidP="0053588B">
      <w:pPr>
        <w:pStyle w:val="BodyText"/>
      </w:pPr>
      <w:r w:rsidRPr="00EF56D6">
        <w:t xml:space="preserve">Assessors must satisfy the Standards for Registered Training Organisations’ </w:t>
      </w:r>
      <w:r w:rsidRPr="00EF56D6">
        <w:t>requirements for assessors.</w:t>
      </w:r>
    </w:p>
    <w:p w:rsidR="00000000" w:rsidRPr="00EF56D6" w:rsidP="0053588B">
      <w:pPr>
        <w:pStyle w:val="BodyText"/>
      </w:pPr>
      <w:r w:rsidRPr="00EF56D6">
        <w:t>Assessors must also hold current registration as a registered nurse with the Nursing and Midwifery Board of Australia (NMBA).</w:t>
      </w:r>
    </w:p>
    <w:p w:rsidR="00000000" w:rsidRPr="00EF56D6" w:rsidP="00EF56D6">
      <w:pPr>
        <w:pStyle w:val="Heading1"/>
      </w:pPr>
      <w:bookmarkStart w:id="5" w:name="O_1199970"/>
      <w:bookmarkEnd w:id="5"/>
      <w:r w:rsidRPr="00EF56D6">
        <w:t>Links</w:t>
      </w:r>
    </w:p>
    <w:p w:rsidR="00000000" w:rsidRPr="00EF56D6" w:rsidP="0053588B">
      <w:pPr>
        <w:pStyle w:val="BodyText"/>
      </w:pPr>
      <w:r w:rsidRPr="00EF5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5141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F56D6" w:rsidP="00EF56D6"/>
    <w:sectPr w:rsidSect="00EF5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D6" w:rsidRPr="0053588B" w:rsidP="00535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B" w:rsidP="00EF5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88B" w:rsidP="00EF5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588B" w:rsidP="00EF5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6D6" w:rsidRPr="0053588B" w:rsidP="00535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B" w:rsidRPr="002D2AF8" w:rsidP="00EF5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HLTENN044 Implement and monitor care for a person with chronic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588B" w:rsidP="00EF5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E6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8B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85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6D6"/>
  </w:style>
  <w:style w:type="character" w:customStyle="1" w:styleId="Heading1Char">
    <w:name w:val="Heading 1 Char"/>
    <w:basedOn w:val="DefaultParagraphFont"/>
    <w:link w:val="Heading1"/>
    <w:rsid w:val="00EF5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6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6D6"/>
    <w:rPr>
      <w:b/>
      <w:spacing w:val="0"/>
    </w:rPr>
  </w:style>
  <w:style w:type="paragraph" w:styleId="ListBullet2">
    <w:name w:val="List Bullet 2"/>
    <w:basedOn w:val="List2"/>
    <w:rsid w:val="00EF56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56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5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6D6"/>
    <w:rPr>
      <w:i/>
    </w:rPr>
  </w:style>
  <w:style w:type="paragraph" w:styleId="Caption">
    <w:name w:val="caption"/>
    <w:basedOn w:val="BodyText"/>
    <w:next w:val="Normal"/>
    <w:qFormat/>
    <w:rsid w:val="00EF5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6D6"/>
  </w:style>
  <w:style w:type="paragraph" w:styleId="TableofFigures">
    <w:name w:val="table of figures"/>
    <w:basedOn w:val="Normal"/>
    <w:next w:val="Normal"/>
    <w:semiHidden/>
    <w:rsid w:val="00EF5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6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56D6"/>
    <w:rPr>
      <w:rFonts w:ascii="Wingdings" w:hAnsi="Wingdings"/>
    </w:rPr>
  </w:style>
  <w:style w:type="paragraph" w:customStyle="1" w:styleId="TableHeading">
    <w:name w:val="Table Heading"/>
    <w:basedOn w:val="HeadingBase"/>
    <w:rsid w:val="00EF5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6D6"/>
    <w:rPr>
      <w:color w:val="0033CC"/>
      <w:u w:val="none"/>
    </w:rPr>
  </w:style>
  <w:style w:type="paragraph" w:customStyle="1" w:styleId="BodyTextRight">
    <w:name w:val="Body Text Right"/>
    <w:basedOn w:val="BodyText"/>
    <w:rsid w:val="00EF5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6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6D6"/>
    <w:rPr>
      <w:sz w:val="32"/>
    </w:rPr>
  </w:style>
  <w:style w:type="paragraph" w:customStyle="1" w:styleId="HeadingProcedure">
    <w:name w:val="Heading Procedure"/>
    <w:basedOn w:val="HeadingBase"/>
    <w:next w:val="Normal"/>
    <w:rsid w:val="00EF5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6D6"/>
    <w:pPr>
      <w:spacing w:before="60" w:after="60"/>
    </w:pPr>
  </w:style>
  <w:style w:type="paragraph" w:styleId="ListContinue">
    <w:name w:val="List Continue"/>
    <w:basedOn w:val="List"/>
    <w:rsid w:val="00EF56D6"/>
    <w:pPr>
      <w:ind w:firstLine="0"/>
    </w:pPr>
  </w:style>
  <w:style w:type="paragraph" w:customStyle="1" w:styleId="ListNote">
    <w:name w:val="List Note"/>
    <w:basedOn w:val="List"/>
    <w:rsid w:val="00EF5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6D6"/>
    <w:rPr>
      <w:rFonts w:ascii="Courier New" w:hAnsi="Courier New"/>
    </w:rPr>
  </w:style>
  <w:style w:type="paragraph" w:customStyle="1" w:styleId="NoteBullet">
    <w:name w:val="Note Bullet"/>
    <w:basedOn w:val="Note"/>
    <w:rsid w:val="00EF5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6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5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6D6"/>
    <w:rPr>
      <w:b/>
      <w:smallCaps/>
    </w:rPr>
  </w:style>
  <w:style w:type="paragraph" w:customStyle="1" w:styleId="TableListNumber">
    <w:name w:val="Table List Number"/>
    <w:basedOn w:val="ListNumber"/>
    <w:rsid w:val="00EF5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6D6"/>
    <w:pPr>
      <w:numPr>
        <w:numId w:val="10"/>
      </w:numPr>
    </w:pPr>
  </w:style>
  <w:style w:type="paragraph" w:customStyle="1" w:styleId="ListAlpha2">
    <w:name w:val="List Alpha 2"/>
    <w:basedOn w:val="List2"/>
    <w:rsid w:val="00EF56D6"/>
    <w:pPr>
      <w:numPr>
        <w:numId w:val="9"/>
      </w:numPr>
    </w:pPr>
  </w:style>
  <w:style w:type="paragraph" w:styleId="List2">
    <w:name w:val="List 2"/>
    <w:basedOn w:val="BodyText"/>
    <w:rsid w:val="00EF5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6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56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56D6"/>
    <w:pPr>
      <w:numPr>
        <w:numId w:val="5"/>
      </w:numPr>
    </w:pPr>
  </w:style>
  <w:style w:type="paragraph" w:styleId="ListContinue2">
    <w:name w:val="List Continue 2"/>
    <w:basedOn w:val="List2"/>
    <w:rsid w:val="00EF56D6"/>
    <w:pPr>
      <w:ind w:firstLine="0"/>
    </w:pPr>
  </w:style>
  <w:style w:type="paragraph" w:styleId="ListContinue3">
    <w:name w:val="List Continue 3"/>
    <w:basedOn w:val="List3"/>
    <w:rsid w:val="00EF56D6"/>
    <w:pPr>
      <w:ind w:left="1021" w:firstLine="0"/>
    </w:pPr>
  </w:style>
  <w:style w:type="paragraph" w:styleId="ListContinue4">
    <w:name w:val="List Continue 4"/>
    <w:basedOn w:val="List4"/>
    <w:rsid w:val="00EF56D6"/>
    <w:pPr>
      <w:ind w:firstLine="0"/>
    </w:pPr>
  </w:style>
  <w:style w:type="paragraph" w:styleId="ListContinue5">
    <w:name w:val="List Continue 5"/>
    <w:basedOn w:val="List5"/>
    <w:rsid w:val="00EF56D6"/>
    <w:pPr>
      <w:ind w:firstLine="0"/>
    </w:pPr>
  </w:style>
  <w:style w:type="paragraph" w:styleId="ListNumber3">
    <w:name w:val="List Number 3"/>
    <w:basedOn w:val="List3"/>
    <w:rsid w:val="00EF56D6"/>
    <w:pPr>
      <w:numPr>
        <w:numId w:val="6"/>
      </w:numPr>
    </w:pPr>
  </w:style>
  <w:style w:type="paragraph" w:styleId="ListNumber4">
    <w:name w:val="List Number 4"/>
    <w:basedOn w:val="List4"/>
    <w:rsid w:val="00EF56D6"/>
    <w:pPr>
      <w:numPr>
        <w:numId w:val="7"/>
      </w:numPr>
    </w:pPr>
  </w:style>
  <w:style w:type="paragraph" w:styleId="ListNumber5">
    <w:name w:val="List Number 5"/>
    <w:basedOn w:val="List5"/>
    <w:rsid w:val="00EF56D6"/>
    <w:pPr>
      <w:numPr>
        <w:numId w:val="8"/>
      </w:numPr>
    </w:pPr>
  </w:style>
  <w:style w:type="paragraph" w:styleId="BlockText">
    <w:name w:val="Block Text"/>
    <w:basedOn w:val="Normal"/>
    <w:rsid w:val="00EF5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6D6"/>
    <w:rPr>
      <w:sz w:val="16"/>
      <w:vertAlign w:val="superscript"/>
    </w:rPr>
  </w:style>
  <w:style w:type="character" w:customStyle="1" w:styleId="Symbols">
    <w:name w:val="Symbols"/>
    <w:basedOn w:val="DefaultParagraphFont"/>
    <w:rsid w:val="00EF56D6"/>
    <w:rPr>
      <w:rFonts w:ascii="Symbol" w:hAnsi="Symbol"/>
    </w:rPr>
  </w:style>
  <w:style w:type="character" w:customStyle="1" w:styleId="MenuOptions">
    <w:name w:val="Menu Options"/>
    <w:basedOn w:val="DefaultParagraphFont"/>
    <w:rsid w:val="00EF5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6D6"/>
    <w:rPr>
      <w:b/>
    </w:rPr>
  </w:style>
  <w:style w:type="character" w:customStyle="1" w:styleId="Underlined">
    <w:name w:val="Underlined"/>
    <w:basedOn w:val="DefaultParagraphFont"/>
    <w:rsid w:val="00EF56D6"/>
    <w:rPr>
      <w:u w:val="single"/>
    </w:rPr>
  </w:style>
  <w:style w:type="paragraph" w:customStyle="1" w:styleId="TableBodyTextRight">
    <w:name w:val="Table Body Text Right"/>
    <w:basedOn w:val="TableBodyText"/>
    <w:rsid w:val="00EF5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6D6"/>
    <w:rPr>
      <w:sz w:val="18"/>
    </w:rPr>
  </w:style>
  <w:style w:type="paragraph" w:customStyle="1" w:styleId="BodySmallRight">
    <w:name w:val="Body Small Right"/>
    <w:basedOn w:val="BodyTextRight"/>
    <w:rsid w:val="00EF56D6"/>
    <w:rPr>
      <w:sz w:val="18"/>
      <w:szCs w:val="18"/>
    </w:rPr>
  </w:style>
  <w:style w:type="paragraph" w:customStyle="1" w:styleId="MarginEdition">
    <w:name w:val="Margin Edition"/>
    <w:basedOn w:val="MarginNote"/>
    <w:rsid w:val="00EF5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6D6"/>
    <w:rPr>
      <w:sz w:val="2"/>
      <w:szCs w:val="2"/>
    </w:rPr>
  </w:style>
  <w:style w:type="character" w:customStyle="1" w:styleId="Small">
    <w:name w:val="Small"/>
    <w:basedOn w:val="DefaultParagraphFont"/>
    <w:rsid w:val="00EF56D6"/>
    <w:rPr>
      <w:sz w:val="16"/>
    </w:rPr>
  </w:style>
  <w:style w:type="paragraph" w:customStyle="1" w:styleId="WideTable">
    <w:name w:val="Wide Table"/>
    <w:basedOn w:val="Normal"/>
    <w:rsid w:val="00EF5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6D6"/>
  </w:style>
  <w:style w:type="paragraph" w:styleId="Quote">
    <w:name w:val="Quote"/>
    <w:basedOn w:val="Heading1"/>
    <w:link w:val="QuoteChar"/>
    <w:qFormat/>
    <w:rsid w:val="00EF5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6D6"/>
    <w:pPr>
      <w:pageBreakBefore/>
    </w:pPr>
  </w:style>
  <w:style w:type="paragraph" w:customStyle="1" w:styleId="Border">
    <w:name w:val="Border"/>
    <w:basedOn w:val="Normal"/>
    <w:qFormat/>
    <w:rsid w:val="00EF5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6D6"/>
    <w:rPr>
      <w:u w:val="single"/>
    </w:rPr>
  </w:style>
  <w:style w:type="character" w:customStyle="1" w:styleId="BoldandItalics">
    <w:name w:val="Bold and Italics"/>
    <w:qFormat/>
    <w:rsid w:val="00EF56D6"/>
    <w:rPr>
      <w:b/>
      <w:i/>
      <w:u w:val="none"/>
    </w:rPr>
  </w:style>
  <w:style w:type="paragraph" w:styleId="BalloonText">
    <w:name w:val="Balloon Text"/>
    <w:basedOn w:val="Normal"/>
    <w:link w:val="BalloonTextChar"/>
    <w:rsid w:val="00EF5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6D6"/>
    <w:pPr>
      <w:spacing w:before="0" w:after="0"/>
    </w:pPr>
  </w:style>
  <w:style w:type="paragraph" w:customStyle="1" w:styleId="BodyTextBold">
    <w:name w:val="Body Text Bold"/>
    <w:basedOn w:val="BodyText"/>
    <w:qFormat/>
    <w:rsid w:val="00EF56D6"/>
    <w:rPr>
      <w:b/>
    </w:rPr>
  </w:style>
  <w:style w:type="character" w:styleId="Hyperlink">
    <w:name w:val="Hyperlink"/>
    <w:basedOn w:val="DefaultParagraphFont"/>
    <w:uiPriority w:val="99"/>
    <w:unhideWhenUsed/>
    <w:rsid w:val="00535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3765</Characters>
  <Application>Microsoft Office Word</Application>
  <DocSecurity>0</DocSecurity>
  <Lines>107</Lines>
  <Paragraphs>81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HLTENN044 Implement and monitor care for a person with chronic health conditions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