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565" w:rsidP="00592565">
      <w:pPr>
        <w:pStyle w:val="Title"/>
      </w:pPr>
      <w:r>
        <w:fldChar w:fldCharType="begin"/>
      </w:r>
      <w:r>
        <w:instrText xml:space="preserve"> TITLE   \* MERGEFORMAT </w:instrText>
      </w:r>
      <w:r>
        <w:fldChar w:fldCharType="separate"/>
      </w:r>
      <w:r>
        <w:t>HLTENN040 Administer and monitor medicines and intravenous therapy</w:t>
      </w:r>
      <w:r>
        <w:fldChar w:fldCharType="end"/>
      </w:r>
    </w:p>
    <w:p w:rsidR="00592565" w:rsidP="00592565">
      <w:pPr>
        <w:pStyle w:val="Version"/>
        <w:sectPr w:rsidSect="00956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6609" w:rsidP="00956609">
      <w:pPr>
        <w:pStyle w:val="SuperHeading"/>
      </w:pPr>
      <w:r w:rsidRPr="00956609">
        <w:t>HLTENN040</w:t>
      </w:r>
      <w:r w:rsidRPr="00956609">
        <w:t xml:space="preserve"> Administer and monitor medicines and intravenous therapy</w:t>
      </w:r>
    </w:p>
    <w:p w:rsidR="00000000" w:rsidRPr="00956609" w:rsidP="00956609">
      <w:pPr>
        <w:pStyle w:val="Heading1"/>
      </w:pPr>
      <w:bookmarkStart w:id="1" w:name="O_1200402"/>
      <w:bookmarkEnd w:id="1"/>
      <w:r w:rsidRPr="00956609">
        <w:t>Modification History</w:t>
      </w:r>
    </w:p>
    <w:tbl>
      <w:tblPr>
        <w:tblW w:w="0" w:type="auto"/>
        <w:tblLayout w:type="fixed"/>
        <w:tblCellMar>
          <w:left w:w="62" w:type="dxa"/>
          <w:right w:w="62" w:type="dxa"/>
        </w:tblCellMar>
        <w:tblLook w:val="0000"/>
      </w:tblPr>
      <w:tblGrid>
        <w:gridCol w:w="3040"/>
        <w:gridCol w:w="6074"/>
      </w:tblGrid>
      <w:tr w:rsidTr="0095660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56609" w:rsidP="00956609">
            <w:pPr>
              <w:pStyle w:val="BodyText"/>
            </w:pPr>
            <w:r w:rsidRPr="0095660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56609">
            <w:pPr>
              <w:pStyle w:val="BodyText"/>
              <w:rPr>
                <w:lang w:val="en-NZ"/>
              </w:rPr>
            </w:pPr>
            <w:r w:rsidRPr="00956609">
              <w:rPr>
                <w:rStyle w:val="SpecialBold"/>
              </w:rPr>
              <w:t>Comments</w:t>
            </w:r>
          </w:p>
        </w:tc>
      </w:tr>
      <w:tr w:rsidTr="0095660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6609">
            <w:pPr>
              <w:pStyle w:val="BodyText"/>
              <w:rPr>
                <w:lang w:val="en-NZ"/>
              </w:rPr>
            </w:pPr>
            <w:r w:rsidRPr="0095660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56609" w:rsidP="00956609">
            <w:pPr>
              <w:pStyle w:val="BodyText"/>
            </w:pPr>
            <w:r w:rsidRPr="00956609">
              <w:t>Release 2 HLTENN040 Administer and monitor medicines and intravenous therapy supersedes and is equivalent to Release 1 HLTENN040 Administer and monitor medicines and intravenous therapy.</w:t>
            </w:r>
          </w:p>
          <w:p w:rsidR="00000000" w:rsidRPr="00956609" w:rsidP="00956609">
            <w:pPr>
              <w:pStyle w:val="BodyText"/>
            </w:pPr>
            <w:r w:rsidRPr="00956609">
              <w:t>Updated:</w:t>
            </w:r>
          </w:p>
          <w:p w:rsidR="00000000" w:rsidP="00956609">
            <w:pPr>
              <w:pStyle w:val="BodyText"/>
              <w:rPr>
                <w:lang w:val="en-NZ"/>
              </w:rPr>
            </w:pPr>
            <w:r w:rsidRPr="00956609">
              <w:t>Mapping details and minor corrections.</w:t>
            </w:r>
          </w:p>
        </w:tc>
      </w:tr>
      <w:tr w:rsidTr="0095660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56609">
            <w:pPr>
              <w:pStyle w:val="BodyText"/>
              <w:rPr>
                <w:lang w:val="en-NZ"/>
              </w:rPr>
            </w:pPr>
            <w:r w:rsidRPr="0095660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56609" w:rsidP="00956609">
            <w:pPr>
              <w:pStyle w:val="BodyText"/>
            </w:pPr>
            <w:r w:rsidRPr="00956609">
              <w:t xml:space="preserve">HLTENN040 </w:t>
            </w:r>
            <w:r w:rsidRPr="00956609">
              <w:t>Administer and monitor medicines and intravenous therapy supersedes and is not equivalent to HLTENN007 Administer and monitor medicines and intravenous therapy.</w:t>
            </w:r>
          </w:p>
        </w:tc>
      </w:tr>
    </w:tbl>
    <w:p w:rsidR="00000000" w:rsidRPr="00956609" w:rsidP="00956609">
      <w:pPr>
        <w:pStyle w:val="BodyText"/>
      </w:pPr>
    </w:p>
    <w:p w:rsidR="00000000" w:rsidRPr="00956609" w:rsidP="00956609">
      <w:pPr>
        <w:pStyle w:val="AllowPageBreak"/>
      </w:pPr>
    </w:p>
    <w:p w:rsidR="00000000" w:rsidRPr="00956609" w:rsidP="00956609">
      <w:pPr>
        <w:pStyle w:val="Heading1"/>
      </w:pPr>
      <w:bookmarkStart w:id="2" w:name="O_1200401"/>
      <w:bookmarkEnd w:id="2"/>
      <w:r w:rsidRPr="00956609">
        <w:t>Application</w:t>
      </w:r>
    </w:p>
    <w:p w:rsidR="00000000" w:rsidRPr="00956609" w:rsidP="00592565">
      <w:pPr>
        <w:pStyle w:val="BodyText"/>
      </w:pPr>
      <w:r w:rsidRPr="00956609">
        <w:t xml:space="preserve">This unit describes the performance outcomes, skills and knowledge required to administer and monitor medicine and intravenous (IV) therapy including calculating dosage requirements, reading and applying written instructions from an authorised prescriber, </w:t>
      </w:r>
      <w:r w:rsidRPr="00956609">
        <w:t>assessing the person for medicine effectiveness and side effects, and responding to an allergic pharmacological reaction.</w:t>
      </w:r>
    </w:p>
    <w:p w:rsidR="00000000" w:rsidRPr="00956609" w:rsidP="00592565">
      <w:pPr>
        <w:pStyle w:val="BodyText"/>
      </w:pPr>
      <w:r w:rsidRPr="00956609">
        <w:t xml:space="preserve">This unit applies to enrolled nursing work carried out in consultation and collaboration with registered nurses and under supervisory </w:t>
      </w:r>
      <w:r w:rsidRPr="00956609">
        <w:t>arrangements aligned to the Nursing and Midwifery Board of Australia (NMBA) regulatory authority legislative requirements.</w:t>
      </w:r>
    </w:p>
    <w:p w:rsidR="00000000" w:rsidRPr="00956609" w:rsidP="00592565">
      <w:pPr>
        <w:pStyle w:val="BodyText"/>
      </w:pPr>
      <w:r w:rsidRPr="00956609">
        <w:t>The skills in this unit must be applied in accordance with Commonwealth and State/Territory legislation, Australian Standards and ind</w:t>
      </w:r>
      <w:r w:rsidRPr="00956609">
        <w:t>ustry codes of practice.</w:t>
      </w:r>
    </w:p>
    <w:p w:rsidR="00000000" w:rsidRPr="00956609" w:rsidP="00592565">
      <w:pPr>
        <w:pStyle w:val="BodyText"/>
      </w:pPr>
      <w:r w:rsidRPr="00956609">
        <w:t>No occupational licensing, certification or specific legislative requirements apply to this unit at the time of publication.</w:t>
      </w:r>
    </w:p>
    <w:p w:rsidR="00000000" w:rsidRPr="00956609" w:rsidP="00956609">
      <w:pPr>
        <w:pStyle w:val="Heading1"/>
      </w:pPr>
      <w:bookmarkStart w:id="3" w:name="O_1200400"/>
      <w:bookmarkEnd w:id="3"/>
      <w:r w:rsidRPr="00956609">
        <w:t>Pre-requisite Unit</w:t>
      </w:r>
    </w:p>
    <w:p w:rsidR="00000000" w:rsidRPr="00956609" w:rsidP="00592565">
      <w:pPr>
        <w:pStyle w:val="BodyText"/>
      </w:pPr>
      <w:r w:rsidRPr="00956609">
        <w:t xml:space="preserve">Nil </w:t>
      </w:r>
    </w:p>
    <w:p w:rsidR="00000000" w:rsidRPr="00956609" w:rsidP="00956609">
      <w:pPr>
        <w:pStyle w:val="Heading1"/>
      </w:pPr>
      <w:bookmarkStart w:id="4" w:name="O_1200399"/>
      <w:bookmarkEnd w:id="4"/>
      <w:r w:rsidRPr="00956609">
        <w:t>Competency Field</w:t>
      </w:r>
    </w:p>
    <w:p w:rsidR="00000000" w:rsidRPr="00956609" w:rsidP="00592565">
      <w:pPr>
        <w:pStyle w:val="BodyText"/>
      </w:pPr>
      <w:r w:rsidRPr="00956609">
        <w:t xml:space="preserve">Enrolled Nursing </w:t>
      </w:r>
    </w:p>
    <w:p w:rsidR="00000000" w:rsidRPr="00956609" w:rsidP="00956609">
      <w:pPr>
        <w:pStyle w:val="Heading1"/>
      </w:pPr>
      <w:bookmarkStart w:id="5" w:name="O_1200398"/>
      <w:bookmarkEnd w:id="5"/>
      <w:r w:rsidRPr="00956609">
        <w:t>Unit Sector</w:t>
      </w:r>
    </w:p>
    <w:p w:rsidR="00000000" w:rsidRPr="00956609" w:rsidP="00592565">
      <w:pPr>
        <w:pStyle w:val="BodyText"/>
      </w:pPr>
      <w:r w:rsidRPr="00956609">
        <w:t>Enrolled Nursing</w:t>
      </w:r>
    </w:p>
    <w:p w:rsidR="00000000" w:rsidRPr="00956609" w:rsidP="00956609">
      <w:pPr>
        <w:pStyle w:val="Heading1"/>
      </w:pPr>
      <w:bookmarkStart w:id="6" w:name="O_1200397"/>
      <w:bookmarkEnd w:id="6"/>
      <w:r w:rsidRPr="00956609">
        <w:t>Elements and Performance Criteria</w:t>
      </w:r>
    </w:p>
    <w:tbl>
      <w:tblPr>
        <w:tblW w:w="0" w:type="auto"/>
        <w:tblLayout w:type="fixed"/>
        <w:tblCellMar>
          <w:left w:w="62" w:type="dxa"/>
          <w:right w:w="62" w:type="dxa"/>
        </w:tblCellMar>
        <w:tblLook w:val="0000"/>
      </w:tblPr>
      <w:tblGrid>
        <w:gridCol w:w="2694"/>
        <w:gridCol w:w="6350"/>
      </w:tblGrid>
      <w:tr w:rsidTr="009566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6609" w:rsidP="00956609">
            <w:pPr>
              <w:pStyle w:val="BodyText"/>
            </w:pPr>
            <w:r w:rsidRPr="0095660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56609">
            <w:pPr>
              <w:pStyle w:val="BodyText"/>
              <w:rPr>
                <w:lang w:val="en-NZ"/>
              </w:rPr>
            </w:pPr>
            <w:r w:rsidRPr="00956609">
              <w:rPr>
                <w:rStyle w:val="SpecialBold"/>
              </w:rPr>
              <w:t>PERFORMANCE</w:t>
            </w:r>
            <w:r w:rsidRPr="00956609">
              <w:t xml:space="preserve"> </w:t>
            </w:r>
            <w:r w:rsidRPr="00956609">
              <w:rPr>
                <w:rStyle w:val="SpecialBold"/>
              </w:rPr>
              <w:t>CRITERIA</w:t>
            </w:r>
          </w:p>
        </w:tc>
      </w:tr>
      <w:tr w:rsidTr="0095660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56609" w:rsidP="00956609">
            <w:pPr>
              <w:pStyle w:val="BodyText"/>
            </w:pPr>
            <w:r w:rsidRPr="0095660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56609">
            <w:pPr>
              <w:pStyle w:val="BodyText"/>
              <w:rPr>
                <w:lang w:val="en-NZ"/>
              </w:rPr>
            </w:pPr>
            <w:r w:rsidRPr="00956609">
              <w:rPr>
                <w:rStyle w:val="Emphasis"/>
              </w:rPr>
              <w:t>Performance criteria describe the performance needed to demonstrate achievement of the eleme</w:t>
            </w:r>
            <w:r w:rsidRPr="00956609">
              <w:rPr>
                <w:rStyle w:val="Emphasis"/>
              </w:rPr>
              <w:t>nt.</w:t>
            </w:r>
          </w:p>
        </w:tc>
      </w:tr>
      <w:tr w:rsidTr="009566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6609">
            <w:pPr>
              <w:pStyle w:val="List"/>
              <w:rPr>
                <w:lang w:val="en-NZ"/>
              </w:rPr>
            </w:pPr>
            <w:r w:rsidRPr="00956609">
              <w:t>1.  Minimise potential risk to ensure safe administration of medicine.</w:t>
            </w:r>
          </w:p>
        </w:tc>
        <w:tc>
          <w:tcPr>
            <w:tcW w:w="6350" w:type="dxa"/>
            <w:tcBorders>
              <w:top w:val="nil"/>
              <w:left w:val="nil"/>
              <w:bottom w:val="nil"/>
              <w:right w:val="nil"/>
            </w:tcBorders>
            <w:tcMar>
              <w:top w:w="0" w:type="dxa"/>
              <w:left w:w="62" w:type="dxa"/>
              <w:bottom w:w="0" w:type="dxa"/>
              <w:right w:w="62" w:type="dxa"/>
            </w:tcMar>
          </w:tcPr>
          <w:p w:rsidR="00000000" w:rsidRPr="00956609" w:rsidP="00956609">
            <w:pPr>
              <w:pStyle w:val="List"/>
            </w:pPr>
            <w:r w:rsidRPr="00956609">
              <w:t>1.1. Refer to drugs and poisons schedules and classifications as determined by law.</w:t>
            </w:r>
          </w:p>
          <w:p w:rsidR="00000000" w:rsidRPr="00956609" w:rsidP="00956609">
            <w:pPr>
              <w:pStyle w:val="List"/>
            </w:pPr>
            <w:r w:rsidRPr="00956609">
              <w:t>1.2. Identify indications for prescribed medicine and intravenous (IV) therapy.</w:t>
            </w:r>
          </w:p>
          <w:p w:rsidR="00000000" w:rsidRPr="00956609" w:rsidP="00956609">
            <w:pPr>
              <w:pStyle w:val="List"/>
            </w:pPr>
            <w:r w:rsidRPr="00956609">
              <w:t>1.3. Identify pharmacology and substance incompatibilities in relation to specific situations involving medicine administration, blood and blood products.</w:t>
            </w:r>
          </w:p>
          <w:p w:rsidR="00000000" w:rsidRPr="00956609" w:rsidP="00956609">
            <w:pPr>
              <w:pStyle w:val="List"/>
            </w:pPr>
            <w:r w:rsidRPr="00956609">
              <w:t>1.4. Evaluate the effect of commonly used medicine and IV fluids on the body before medicine administ</w:t>
            </w:r>
            <w:r w:rsidRPr="00956609">
              <w:t>ration and IV infusion.</w:t>
            </w:r>
          </w:p>
          <w:p w:rsidR="00000000" w:rsidP="00956609">
            <w:pPr>
              <w:pStyle w:val="List"/>
              <w:rPr>
                <w:lang w:val="en-NZ"/>
              </w:rPr>
            </w:pPr>
            <w:r w:rsidRPr="00956609">
              <w:t>1.5. Refer to medical history records to identify documented allergies and contraindications.</w:t>
            </w:r>
          </w:p>
        </w:tc>
      </w:tr>
      <w:tr w:rsidTr="00956609">
        <w:tblPrEx>
          <w:tblW w:w="0" w:type="auto"/>
          <w:tblLayout w:type="fixed"/>
          <w:tblCellMar>
            <w:left w:w="62" w:type="dxa"/>
            <w:right w:w="62" w:type="dxa"/>
          </w:tblCellMar>
          <w:tblLook w:val="0000"/>
        </w:tblPrEx>
        <w:trPr>
          <w:trHeight w:val="4706"/>
        </w:trPr>
        <w:tc>
          <w:tcPr>
            <w:tcW w:w="2694" w:type="dxa"/>
            <w:tcBorders>
              <w:top w:val="nil"/>
              <w:left w:val="nil"/>
              <w:bottom w:val="nil"/>
              <w:right w:val="nil"/>
            </w:tcBorders>
            <w:tcMar>
              <w:top w:w="0" w:type="dxa"/>
              <w:left w:w="62" w:type="dxa"/>
              <w:bottom w:w="0" w:type="dxa"/>
              <w:right w:w="62" w:type="dxa"/>
            </w:tcMar>
          </w:tcPr>
          <w:p w:rsidR="00000000" w:rsidP="00956609">
            <w:pPr>
              <w:pStyle w:val="List"/>
              <w:rPr>
                <w:lang w:val="en-NZ"/>
              </w:rPr>
            </w:pPr>
            <w:r w:rsidRPr="00956609">
              <w:t>2.  Prepare for medicine administration and infusion of IV fluids.</w:t>
            </w:r>
          </w:p>
        </w:tc>
        <w:tc>
          <w:tcPr>
            <w:tcW w:w="6350" w:type="dxa"/>
            <w:tcBorders>
              <w:top w:val="nil"/>
              <w:left w:val="nil"/>
              <w:bottom w:val="nil"/>
              <w:right w:val="nil"/>
            </w:tcBorders>
            <w:tcMar>
              <w:top w:w="0" w:type="dxa"/>
              <w:left w:w="62" w:type="dxa"/>
              <w:bottom w:w="0" w:type="dxa"/>
              <w:right w:w="62" w:type="dxa"/>
            </w:tcMar>
          </w:tcPr>
          <w:p w:rsidR="00000000" w:rsidRPr="00956609" w:rsidP="00956609">
            <w:pPr>
              <w:pStyle w:val="List"/>
            </w:pPr>
            <w:r w:rsidRPr="00956609">
              <w:t>2.1. Explain the process of medicine administration and IV fluid infus</w:t>
            </w:r>
            <w:r w:rsidRPr="00956609">
              <w:t>ion to the person, confirm their understanding and obtain consent.</w:t>
            </w:r>
          </w:p>
          <w:p w:rsidR="00000000" w:rsidRPr="00956609" w:rsidP="00956609">
            <w:pPr>
              <w:pStyle w:val="List"/>
            </w:pPr>
            <w:r w:rsidRPr="00956609">
              <w:t>2.2. Identify correct administration route and site for medicine and IV fluid to be administered and position the person.</w:t>
            </w:r>
          </w:p>
          <w:p w:rsidR="00000000" w:rsidRPr="00956609" w:rsidP="00956609">
            <w:pPr>
              <w:pStyle w:val="List"/>
            </w:pPr>
            <w:r w:rsidRPr="00956609">
              <w:t xml:space="preserve">2.3. Calculate accurate medicine dosage and IV fluid infusion rate </w:t>
            </w:r>
            <w:r w:rsidRPr="00956609">
              <w:t>for administration of drugs.</w:t>
            </w:r>
          </w:p>
          <w:p w:rsidR="00000000" w:rsidRPr="00956609" w:rsidP="00956609">
            <w:pPr>
              <w:pStyle w:val="List"/>
            </w:pPr>
            <w:r w:rsidRPr="00956609">
              <w:t>2.4. Prepare medicine in accordance with legislative and jurisdictional requirements and organisational policies and procedures.</w:t>
            </w:r>
          </w:p>
          <w:p w:rsidR="00000000" w:rsidRPr="00956609" w:rsidP="00956609">
            <w:pPr>
              <w:pStyle w:val="List"/>
            </w:pPr>
            <w:r w:rsidRPr="00956609">
              <w:t>2.5. Identify medicine administration techniques and precautions specific to the person’s situatio</w:t>
            </w:r>
            <w:r w:rsidRPr="00956609">
              <w:t>n and as per medicine orders.</w:t>
            </w:r>
          </w:p>
          <w:p w:rsidR="00000000" w:rsidRPr="00956609" w:rsidP="00956609">
            <w:pPr>
              <w:pStyle w:val="List"/>
            </w:pPr>
            <w:r w:rsidRPr="00956609">
              <w:t>2.6. Prepare blood and blood products for blood transfusions according to organisational policies and procedures.</w:t>
            </w:r>
          </w:p>
          <w:p w:rsidR="00000000" w:rsidP="00956609">
            <w:pPr>
              <w:pStyle w:val="List"/>
              <w:rPr>
                <w:lang w:val="en-NZ"/>
              </w:rPr>
            </w:pPr>
            <w:r w:rsidRPr="00956609">
              <w:t>2.7 Assess intravenous access site and line for abnormalities and refer to registered nurse and treating team as</w:t>
            </w:r>
            <w:r w:rsidRPr="00956609">
              <w:t xml:space="preserve"> required in accordance with the National Safety and Quality Health Service (NSQHS) Standards.  </w:t>
            </w:r>
          </w:p>
        </w:tc>
      </w:tr>
      <w:tr w:rsidTr="00956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6609">
            <w:pPr>
              <w:pStyle w:val="List"/>
              <w:rPr>
                <w:lang w:val="en-NZ"/>
              </w:rPr>
            </w:pPr>
            <w:r w:rsidRPr="00956609">
              <w:t>3.  Administer and store medicine.</w:t>
            </w:r>
          </w:p>
        </w:tc>
        <w:tc>
          <w:tcPr>
            <w:tcW w:w="6350" w:type="dxa"/>
            <w:tcBorders>
              <w:top w:val="nil"/>
              <w:left w:val="nil"/>
              <w:bottom w:val="nil"/>
              <w:right w:val="nil"/>
            </w:tcBorders>
            <w:tcMar>
              <w:top w:w="0" w:type="dxa"/>
              <w:left w:w="62" w:type="dxa"/>
              <w:bottom w:w="0" w:type="dxa"/>
              <w:right w:w="62" w:type="dxa"/>
            </w:tcMar>
          </w:tcPr>
          <w:p w:rsidR="00000000" w:rsidRPr="00956609" w:rsidP="00956609">
            <w:pPr>
              <w:pStyle w:val="List"/>
            </w:pPr>
            <w:r w:rsidRPr="00956609">
              <w:t>3.1. Administer medicine and IV fluid to the person applying</w:t>
            </w:r>
            <w:r w:rsidRPr="00956609">
              <w:t xml:space="preserve"> the Rights of Medication Administration and in accordance with jurisdictional and legislative requirements, organisational policies and procedures and professional practice standards.</w:t>
            </w:r>
          </w:p>
          <w:p w:rsidR="00000000" w:rsidRPr="00956609" w:rsidP="00956609">
            <w:pPr>
              <w:pStyle w:val="List"/>
            </w:pPr>
            <w:r w:rsidRPr="00956609">
              <w:t>3.2. Report a person’s refusal of medicine, IV therapy and incomplete m</w:t>
            </w:r>
            <w:r w:rsidRPr="00956609">
              <w:t>edicine and IV therapy administration to the supervising registered nurse.</w:t>
            </w:r>
          </w:p>
          <w:p w:rsidR="00000000" w:rsidP="00956609">
            <w:pPr>
              <w:pStyle w:val="List"/>
              <w:rPr>
                <w:lang w:val="en-NZ"/>
              </w:rPr>
            </w:pPr>
            <w:r w:rsidRPr="00956609">
              <w:t>3.3. Ensure medicine and blood and blood products are stored, handled and disposed of according to legislation, organisational policies and procedures and manufacturer instructions.</w:t>
            </w:r>
          </w:p>
        </w:tc>
      </w:tr>
      <w:tr w:rsidTr="00956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6609">
            <w:pPr>
              <w:pStyle w:val="List"/>
              <w:rPr>
                <w:lang w:val="en-NZ"/>
              </w:rPr>
            </w:pPr>
            <w:r w:rsidRPr="00956609">
              <w:t>4.  Monitor and evaluate a person’s response to administered medicine, IV fluids and blood and blood products.</w:t>
            </w:r>
          </w:p>
        </w:tc>
        <w:tc>
          <w:tcPr>
            <w:tcW w:w="6350" w:type="dxa"/>
            <w:tcBorders>
              <w:top w:val="nil"/>
              <w:left w:val="nil"/>
              <w:bottom w:val="nil"/>
              <w:right w:val="nil"/>
            </w:tcBorders>
            <w:tcMar>
              <w:top w:w="0" w:type="dxa"/>
              <w:left w:w="62" w:type="dxa"/>
              <w:bottom w:w="0" w:type="dxa"/>
              <w:right w:w="62" w:type="dxa"/>
            </w:tcMar>
          </w:tcPr>
          <w:p w:rsidR="00000000" w:rsidRPr="00956609" w:rsidP="00956609">
            <w:pPr>
              <w:pStyle w:val="List"/>
            </w:pPr>
            <w:r w:rsidRPr="00956609">
              <w:t>4.1. Identify, monitor, document and report acute and delayed adverse reactions of the person to administered medicine, IV fluids, blood and bl</w:t>
            </w:r>
            <w:r w:rsidRPr="00956609">
              <w:t>ood products.</w:t>
            </w:r>
          </w:p>
          <w:p w:rsidR="00000000" w:rsidRPr="00956609" w:rsidP="00956609">
            <w:pPr>
              <w:pStyle w:val="List"/>
            </w:pPr>
            <w:r w:rsidRPr="00956609">
              <w:t>4.2. Implement emergency actions in response to identified adverse event.</w:t>
            </w:r>
          </w:p>
          <w:p w:rsidR="00000000" w:rsidRPr="00956609" w:rsidP="00956609">
            <w:pPr>
              <w:pStyle w:val="List"/>
            </w:pPr>
            <w:r w:rsidRPr="00956609">
              <w:t>4.3. Monitor and evaluate IV cannula according to organisational policies and procedures.</w:t>
            </w:r>
          </w:p>
          <w:p w:rsidR="00000000" w:rsidP="00956609">
            <w:pPr>
              <w:pStyle w:val="List"/>
              <w:rPr>
                <w:lang w:val="en-NZ"/>
              </w:rPr>
            </w:pPr>
            <w:r w:rsidRPr="00956609">
              <w:t>4.4. Provide information to the person, families or carer relating to administ</w:t>
            </w:r>
            <w:r w:rsidRPr="00956609">
              <w:t>ration of medicines including possible side effects.</w:t>
            </w:r>
          </w:p>
        </w:tc>
      </w:tr>
      <w:tr w:rsidTr="0095660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6609">
            <w:pPr>
              <w:pStyle w:val="List"/>
              <w:rPr>
                <w:lang w:val="en-NZ"/>
              </w:rPr>
            </w:pPr>
            <w:r w:rsidRPr="00956609">
              <w:t>5.  Assess effectiveness of pain-relieving medicine.</w:t>
            </w:r>
          </w:p>
        </w:tc>
        <w:tc>
          <w:tcPr>
            <w:tcW w:w="6350" w:type="dxa"/>
            <w:tcBorders>
              <w:top w:val="nil"/>
              <w:left w:val="nil"/>
              <w:bottom w:val="nil"/>
              <w:right w:val="nil"/>
            </w:tcBorders>
            <w:tcMar>
              <w:top w:w="0" w:type="dxa"/>
              <w:left w:w="62" w:type="dxa"/>
              <w:bottom w:w="0" w:type="dxa"/>
              <w:right w:w="62" w:type="dxa"/>
            </w:tcMar>
          </w:tcPr>
          <w:p w:rsidR="00000000" w:rsidRPr="00956609" w:rsidP="00956609">
            <w:pPr>
              <w:pStyle w:val="List"/>
            </w:pPr>
            <w:r w:rsidRPr="00956609">
              <w:t xml:space="preserve">5.1. Undertake comprehensive pain assessment. </w:t>
            </w:r>
          </w:p>
          <w:p w:rsidR="00000000" w:rsidRPr="00956609" w:rsidP="00956609">
            <w:pPr>
              <w:pStyle w:val="List"/>
            </w:pPr>
            <w:r w:rsidRPr="00956609">
              <w:t>5.2. Clarify location and nature of pain and discomfort, taking into account factors that influence pe</w:t>
            </w:r>
            <w:r w:rsidRPr="00956609">
              <w:t>rson’s perception of pain.</w:t>
            </w:r>
          </w:p>
          <w:p w:rsidR="00000000" w:rsidRPr="00956609" w:rsidP="00956609">
            <w:pPr>
              <w:pStyle w:val="List"/>
            </w:pPr>
            <w:r w:rsidRPr="00956609">
              <w:t xml:space="preserve">5.3. Identify prescribed medicines and complementary strategies to alleviate pain and discomfort. </w:t>
            </w:r>
          </w:p>
          <w:p w:rsidR="00000000" w:rsidRPr="00956609" w:rsidP="00956609">
            <w:pPr>
              <w:pStyle w:val="List"/>
            </w:pPr>
            <w:r w:rsidRPr="00956609">
              <w:t xml:space="preserve">5.4. Assess evaluate and document medicine effectiveness and undertake comprehensive pain assessment. </w:t>
            </w:r>
          </w:p>
        </w:tc>
      </w:tr>
    </w:tbl>
    <w:p w:rsidR="00000000" w:rsidRPr="00956609" w:rsidP="00956609">
      <w:pPr>
        <w:pStyle w:val="List"/>
      </w:pPr>
    </w:p>
    <w:p w:rsidR="00000000" w:rsidRPr="00956609" w:rsidP="00956609">
      <w:pPr>
        <w:pStyle w:val="AllowPageBreak"/>
      </w:pPr>
    </w:p>
    <w:p w:rsidR="00000000" w:rsidRPr="00956609" w:rsidP="00956609">
      <w:pPr>
        <w:pStyle w:val="Heading1"/>
      </w:pPr>
      <w:bookmarkStart w:id="7" w:name="O_1200396"/>
      <w:bookmarkEnd w:id="7"/>
      <w:r w:rsidRPr="00956609">
        <w:t>Foundation Skills</w:t>
      </w:r>
    </w:p>
    <w:p w:rsidR="00000000" w:rsidRPr="00956609" w:rsidP="00592565">
      <w:pPr>
        <w:pStyle w:val="BodyText"/>
      </w:pPr>
      <w:r w:rsidRPr="00956609">
        <w:t>Foundation skills essential to performance are explicit in the performance criteria of this unit of competency.</w:t>
      </w:r>
    </w:p>
    <w:p w:rsidR="00000000" w:rsidRPr="00956609" w:rsidP="00956609">
      <w:pPr>
        <w:pStyle w:val="Heading1"/>
      </w:pPr>
      <w:bookmarkStart w:id="8" w:name="O_1200395"/>
      <w:bookmarkEnd w:id="8"/>
      <w:r w:rsidRPr="00956609">
        <w:t>Unit Mapping Information</w:t>
      </w:r>
    </w:p>
    <w:p w:rsidR="00000000" w:rsidRPr="00956609" w:rsidP="00592565">
      <w:pPr>
        <w:pStyle w:val="BodyText"/>
      </w:pPr>
      <w:r w:rsidRPr="00956609">
        <w:t xml:space="preserve">HLTENN040 Administer and monitor medicines and intravenous therapy supersedes and </w:t>
      </w:r>
      <w:r w:rsidRPr="00956609">
        <w:t>is not equivalent to HLTENN007 Administer and monitor medicines and intravenous therapy.</w:t>
      </w:r>
    </w:p>
    <w:p w:rsidR="00000000" w:rsidRPr="00956609" w:rsidP="00956609">
      <w:pPr>
        <w:pStyle w:val="Heading1"/>
      </w:pPr>
      <w:bookmarkStart w:id="9" w:name="O_1200403"/>
      <w:bookmarkEnd w:id="9"/>
      <w:r w:rsidRPr="00956609">
        <w:t>Links</w:t>
      </w:r>
    </w:p>
    <w:p w:rsidR="00000000" w:rsidRPr="00956609" w:rsidP="00592565">
      <w:pPr>
        <w:pStyle w:val="BodyText"/>
      </w:pPr>
      <w:r w:rsidRPr="0095660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7045B">
        <w:rPr>
          <w:rStyle w:val="Hyperlink"/>
        </w:rPr>
        <w:t>https://vetnet.gov.au/Pages/TrainingDocs.aspx?q=ced1390f-48d9-4ab0-bd50-b015e5485705</w:t>
      </w:r>
      <w:r>
        <w:fldChar w:fldCharType="end"/>
      </w:r>
    </w:p>
    <w:p w:rsidR="00000000" w:rsidRPr="00956609" w:rsidP="00956609"/>
    <w:sectPr w:rsidSect="009566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09" w:rsidRPr="00592565" w:rsidP="00592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56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609" w:rsidRPr="00592565" w:rsidP="00592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56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609"/>
    <w:pPr>
      <w:spacing w:before="360" w:after="60"/>
      <w:outlineLvl w:val="0"/>
    </w:pPr>
    <w:rPr>
      <w:sz w:val="32"/>
    </w:rPr>
  </w:style>
  <w:style w:type="paragraph" w:styleId="Heading2">
    <w:name w:val="heading 2"/>
    <w:basedOn w:val="HeadingBase"/>
    <w:next w:val="BodyText"/>
    <w:link w:val="Heading2Char"/>
    <w:qFormat/>
    <w:rsid w:val="00956609"/>
    <w:pPr>
      <w:keepLines/>
      <w:spacing w:before="240" w:after="120"/>
      <w:outlineLvl w:val="1"/>
    </w:pPr>
    <w:rPr>
      <w:sz w:val="28"/>
      <w:szCs w:val="40"/>
    </w:rPr>
  </w:style>
  <w:style w:type="paragraph" w:styleId="Heading3">
    <w:name w:val="heading 3"/>
    <w:basedOn w:val="HeadingBase"/>
    <w:next w:val="BodyText"/>
    <w:link w:val="Heading3Char"/>
    <w:qFormat/>
    <w:rsid w:val="00956609"/>
    <w:pPr>
      <w:spacing w:before="180" w:after="120"/>
      <w:outlineLvl w:val="2"/>
    </w:pPr>
    <w:rPr>
      <w:spacing w:val="-10"/>
      <w:kern w:val="32"/>
    </w:rPr>
  </w:style>
  <w:style w:type="paragraph" w:styleId="Heading4">
    <w:name w:val="heading 4"/>
    <w:basedOn w:val="HeadingBase"/>
    <w:next w:val="BodyText"/>
    <w:link w:val="Heading4Char"/>
    <w:qFormat/>
    <w:rsid w:val="00956609"/>
    <w:pPr>
      <w:spacing w:before="160" w:after="120"/>
      <w:outlineLvl w:val="3"/>
    </w:pPr>
    <w:rPr>
      <w:sz w:val="22"/>
    </w:rPr>
  </w:style>
  <w:style w:type="paragraph" w:styleId="Heading5">
    <w:name w:val="heading 5"/>
    <w:basedOn w:val="HeadingBase"/>
    <w:next w:val="Normal"/>
    <w:link w:val="Heading5Char"/>
    <w:qFormat/>
    <w:rsid w:val="00956609"/>
    <w:pPr>
      <w:spacing w:before="80"/>
      <w:outlineLvl w:val="4"/>
    </w:pPr>
    <w:rPr>
      <w:color w:val="918585"/>
      <w:sz w:val="20"/>
    </w:rPr>
  </w:style>
  <w:style w:type="paragraph" w:styleId="Heading6">
    <w:name w:val="heading 6"/>
    <w:basedOn w:val="HeadingBase"/>
    <w:next w:val="Normal"/>
    <w:link w:val="Heading6Char"/>
    <w:qFormat/>
    <w:rsid w:val="00956609"/>
    <w:pPr>
      <w:spacing w:before="60"/>
      <w:outlineLvl w:val="5"/>
    </w:pPr>
    <w:rPr>
      <w:color w:val="918585"/>
      <w:sz w:val="20"/>
    </w:rPr>
  </w:style>
  <w:style w:type="paragraph" w:styleId="Heading7">
    <w:name w:val="heading 7"/>
    <w:basedOn w:val="Normal"/>
    <w:next w:val="Normal"/>
    <w:link w:val="Heading7Char"/>
    <w:qFormat/>
    <w:rsid w:val="00956609"/>
    <w:pPr>
      <w:ind w:left="720"/>
      <w:outlineLvl w:val="6"/>
    </w:pPr>
    <w:rPr>
      <w:i/>
    </w:rPr>
  </w:style>
  <w:style w:type="paragraph" w:styleId="Heading8">
    <w:name w:val="heading 8"/>
    <w:basedOn w:val="Normal"/>
    <w:next w:val="Normal"/>
    <w:link w:val="Heading8Char"/>
    <w:qFormat/>
    <w:rsid w:val="00956609"/>
    <w:pPr>
      <w:ind w:left="720"/>
      <w:outlineLvl w:val="7"/>
    </w:pPr>
    <w:rPr>
      <w:i/>
    </w:rPr>
  </w:style>
  <w:style w:type="paragraph" w:styleId="Heading9">
    <w:name w:val="heading 9"/>
    <w:basedOn w:val="Normal"/>
    <w:next w:val="Normal"/>
    <w:link w:val="Heading9Char"/>
    <w:qFormat/>
    <w:rsid w:val="00956609"/>
    <w:pPr>
      <w:ind w:left="720"/>
      <w:outlineLvl w:val="8"/>
    </w:pPr>
    <w:rPr>
      <w:i/>
    </w:rPr>
  </w:style>
  <w:style w:type="character" w:default="1" w:styleId="DefaultParagraphFont">
    <w:name w:val="Default Paragraph Font"/>
    <w:uiPriority w:val="1"/>
    <w:unhideWhenUsed/>
    <w:rsid w:val="00956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609"/>
  </w:style>
  <w:style w:type="character" w:customStyle="1" w:styleId="Heading1Char">
    <w:name w:val="Heading 1 Char"/>
    <w:basedOn w:val="DefaultParagraphFont"/>
    <w:link w:val="Heading1"/>
    <w:rsid w:val="00956609"/>
    <w:rPr>
      <w:rFonts w:ascii="Times New Roman" w:eastAsia="Times New Roman" w:hAnsi="Times New Roman" w:cs="Times New Roman"/>
      <w:b/>
      <w:sz w:val="32"/>
      <w:szCs w:val="20"/>
      <w:lang w:eastAsia="en-US"/>
    </w:rPr>
  </w:style>
  <w:style w:type="paragraph" w:styleId="BodyText">
    <w:name w:val="Body Text"/>
    <w:basedOn w:val="Normal"/>
    <w:link w:val="BodyTextChar"/>
    <w:rsid w:val="00956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609"/>
    <w:rPr>
      <w:rFonts w:ascii="Times New Roman" w:eastAsia="Times New Roman" w:hAnsi="Times New Roman" w:cs="Times New Roman"/>
      <w:sz w:val="24"/>
      <w:lang w:eastAsia="en-US"/>
    </w:rPr>
  </w:style>
  <w:style w:type="paragraph" w:styleId="List">
    <w:name w:val="List"/>
    <w:basedOn w:val="BodyText"/>
    <w:next w:val="BodyText"/>
    <w:rsid w:val="00956609"/>
    <w:pPr>
      <w:tabs>
        <w:tab w:val="left" w:pos="340"/>
      </w:tabs>
      <w:spacing w:before="60" w:after="60"/>
      <w:ind w:left="340" w:hanging="340"/>
    </w:pPr>
  </w:style>
  <w:style w:type="character" w:customStyle="1" w:styleId="SpecialBold">
    <w:name w:val="Special Bold"/>
    <w:basedOn w:val="DefaultParagraphFont"/>
    <w:rsid w:val="00956609"/>
    <w:rPr>
      <w:b/>
      <w:spacing w:val="0"/>
    </w:rPr>
  </w:style>
  <w:style w:type="character" w:styleId="Emphasis">
    <w:name w:val="Emphasis"/>
    <w:basedOn w:val="DefaultParagraphFont"/>
    <w:qFormat/>
    <w:rsid w:val="00956609"/>
    <w:rPr>
      <w:i/>
    </w:rPr>
  </w:style>
  <w:style w:type="paragraph" w:customStyle="1" w:styleId="SuperHeading">
    <w:name w:val="SuperHeading"/>
    <w:basedOn w:val="Normal"/>
    <w:rsid w:val="00956609"/>
    <w:pPr>
      <w:spacing w:before="240" w:after="120"/>
      <w:outlineLvl w:val="0"/>
    </w:pPr>
    <w:rPr>
      <w:rFonts w:ascii="Times New Roman" w:hAnsi="Times New Roman"/>
      <w:b/>
      <w:sz w:val="32"/>
    </w:rPr>
  </w:style>
  <w:style w:type="paragraph" w:customStyle="1" w:styleId="AllowPageBreak">
    <w:name w:val="AllowPageBreak"/>
    <w:rsid w:val="00956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609"/>
    <w:rPr>
      <w:rFonts w:ascii="Courier New" w:eastAsia="Times New Roman" w:hAnsi="Courier New" w:cs="Times New Roman"/>
      <w:i/>
      <w:szCs w:val="20"/>
      <w:lang w:eastAsia="en-US"/>
    </w:rPr>
  </w:style>
  <w:style w:type="paragraph" w:customStyle="1" w:styleId="HeadingBase">
    <w:name w:val="Heading Base"/>
    <w:rsid w:val="00956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609"/>
    <w:pPr>
      <w:tabs>
        <w:tab w:val="right" w:leader="dot" w:pos="9072"/>
      </w:tabs>
      <w:ind w:left="567"/>
    </w:pPr>
    <w:rPr>
      <w:szCs w:val="22"/>
    </w:rPr>
  </w:style>
  <w:style w:type="paragraph" w:customStyle="1" w:styleId="TOCBase">
    <w:name w:val="TOC Base"/>
    <w:rsid w:val="00956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609"/>
    <w:pPr>
      <w:tabs>
        <w:tab w:val="right" w:leader="dot" w:pos="9072"/>
      </w:tabs>
      <w:spacing w:before="40" w:after="40"/>
      <w:ind w:left="284"/>
    </w:pPr>
    <w:rPr>
      <w:rFonts w:ascii="Times New Roman" w:hAnsi="Times New Roman"/>
    </w:rPr>
  </w:style>
  <w:style w:type="paragraph" w:styleId="TOC1">
    <w:name w:val="toc 1"/>
    <w:basedOn w:val="TOCBase"/>
    <w:next w:val="Normal"/>
    <w:rsid w:val="00956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609"/>
    <w:rPr>
      <w:rFonts w:ascii="Times New Roman" w:eastAsia="Times New Roman" w:hAnsi="Times New Roman" w:cs="Times New Roman"/>
      <w:sz w:val="16"/>
      <w:lang w:eastAsia="en-US"/>
    </w:rPr>
  </w:style>
  <w:style w:type="paragraph" w:styleId="Title">
    <w:name w:val="Title"/>
    <w:basedOn w:val="HeadingBase"/>
    <w:link w:val="TitleChar"/>
    <w:qFormat/>
    <w:rsid w:val="00956609"/>
    <w:pPr>
      <w:spacing w:before="5040"/>
      <w:jc w:val="center"/>
    </w:pPr>
    <w:rPr>
      <w:sz w:val="48"/>
      <w:szCs w:val="72"/>
      <w:lang w:val="en-US"/>
    </w:rPr>
  </w:style>
  <w:style w:type="character" w:customStyle="1" w:styleId="TitleChar">
    <w:name w:val="Title Char"/>
    <w:basedOn w:val="DefaultParagraphFont"/>
    <w:link w:val="Title"/>
    <w:rsid w:val="00956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609"/>
    <w:pPr>
      <w:tabs>
        <w:tab w:val="left" w:pos="3600"/>
        <w:tab w:val="left" w:pos="3958"/>
      </w:tabs>
    </w:pPr>
  </w:style>
  <w:style w:type="paragraph" w:styleId="ListBullet">
    <w:name w:val="List Bullet"/>
    <w:basedOn w:val="List"/>
    <w:rsid w:val="00956609"/>
    <w:pPr>
      <w:numPr>
        <w:numId w:val="10"/>
      </w:numPr>
      <w:tabs>
        <w:tab w:val="clear" w:pos="340"/>
      </w:tabs>
      <w:spacing w:before="40" w:after="40"/>
    </w:pPr>
  </w:style>
  <w:style w:type="paragraph" w:customStyle="1" w:styleId="Note">
    <w:name w:val="Note"/>
    <w:basedOn w:val="BodyText"/>
    <w:rsid w:val="00956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609"/>
    <w:pPr>
      <w:framePr w:wrap="auto" w:hAnchor="text" w:y="6049"/>
    </w:pPr>
    <w:rPr>
      <w:color w:val="000000"/>
      <w:sz w:val="40"/>
    </w:rPr>
  </w:style>
  <w:style w:type="paragraph" w:customStyle="1" w:styleId="TOCTitle">
    <w:name w:val="TOCTitle"/>
    <w:basedOn w:val="Heading1"/>
    <w:rsid w:val="00956609"/>
    <w:pPr>
      <w:spacing w:after="240"/>
      <w:jc w:val="center"/>
      <w:outlineLvl w:val="9"/>
    </w:pPr>
    <w:rPr>
      <w:caps/>
    </w:rPr>
  </w:style>
  <w:style w:type="paragraph" w:customStyle="1" w:styleId="Version">
    <w:name w:val="Version"/>
    <w:rsid w:val="009566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609"/>
    <w:pPr>
      <w:numPr>
        <w:numId w:val="11"/>
      </w:numPr>
      <w:tabs>
        <w:tab w:val="clear" w:pos="680"/>
      </w:tabs>
    </w:pPr>
  </w:style>
  <w:style w:type="paragraph" w:styleId="Index1">
    <w:name w:val="index 1"/>
    <w:basedOn w:val="Normal"/>
    <w:next w:val="Normal"/>
    <w:semiHidden/>
    <w:rsid w:val="00956609"/>
    <w:pPr>
      <w:keepNext w:val="0"/>
      <w:tabs>
        <w:tab w:val="right" w:pos="4176"/>
      </w:tabs>
      <w:ind w:left="198" w:hanging="198"/>
    </w:pPr>
    <w:rPr>
      <w:rFonts w:ascii="Garamond" w:hAnsi="Garamond"/>
    </w:rPr>
  </w:style>
  <w:style w:type="paragraph" w:styleId="IndexHeading">
    <w:name w:val="index heading"/>
    <w:basedOn w:val="Normal"/>
    <w:next w:val="Index1"/>
    <w:semiHidden/>
    <w:rsid w:val="00956609"/>
    <w:pPr>
      <w:spacing w:before="120" w:after="120"/>
    </w:pPr>
    <w:rPr>
      <w:rFonts w:ascii="Arial" w:hAnsi="Arial"/>
      <w:b/>
      <w:color w:val="918585"/>
      <w:sz w:val="24"/>
    </w:rPr>
  </w:style>
  <w:style w:type="paragraph" w:styleId="Header">
    <w:name w:val="header"/>
    <w:basedOn w:val="Normal"/>
    <w:link w:val="HeaderChar"/>
    <w:rsid w:val="00956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609"/>
    <w:rPr>
      <w:rFonts w:ascii="Times New Roman" w:eastAsia="Times New Roman" w:hAnsi="Times New Roman" w:cs="Times New Roman"/>
      <w:sz w:val="16"/>
      <w:szCs w:val="20"/>
      <w:lang w:val="en-GB" w:eastAsia="en-US"/>
    </w:rPr>
  </w:style>
  <w:style w:type="paragraph" w:customStyle="1" w:styleId="Chapter">
    <w:name w:val="Chapter"/>
    <w:basedOn w:val="Normal"/>
    <w:rsid w:val="00956609"/>
    <w:pPr>
      <w:spacing w:before="240"/>
    </w:pPr>
    <w:rPr>
      <w:rFonts w:ascii="Times New Roman" w:hAnsi="Times New Roman"/>
      <w:smallCaps/>
      <w:spacing w:val="80"/>
      <w:sz w:val="28"/>
    </w:rPr>
  </w:style>
  <w:style w:type="paragraph" w:customStyle="1" w:styleId="InChapter">
    <w:name w:val="InChapter"/>
    <w:basedOn w:val="Heading3"/>
    <w:rsid w:val="00956609"/>
    <w:pPr>
      <w:spacing w:after="240"/>
      <w:outlineLvl w:val="9"/>
    </w:pPr>
    <w:rPr>
      <w:noProof/>
    </w:rPr>
  </w:style>
  <w:style w:type="paragraph" w:styleId="Index2">
    <w:name w:val="index 2"/>
    <w:basedOn w:val="Normal"/>
    <w:next w:val="Normal"/>
    <w:semiHidden/>
    <w:rsid w:val="00956609"/>
    <w:pPr>
      <w:tabs>
        <w:tab w:val="right" w:pos="4176"/>
      </w:tabs>
      <w:ind w:left="568" w:hanging="284"/>
    </w:pPr>
    <w:rPr>
      <w:rFonts w:ascii="Garamond" w:hAnsi="Garamond"/>
    </w:rPr>
  </w:style>
  <w:style w:type="paragraph" w:customStyle="1" w:styleId="Byline">
    <w:name w:val="Byline"/>
    <w:rsid w:val="00956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609"/>
    <w:pPr>
      <w:tabs>
        <w:tab w:val="clear" w:pos="3600"/>
        <w:tab w:val="clear" w:pos="3958"/>
      </w:tabs>
      <w:jc w:val="right"/>
    </w:pPr>
  </w:style>
  <w:style w:type="paragraph" w:styleId="Caption">
    <w:name w:val="caption"/>
    <w:basedOn w:val="BodyText"/>
    <w:next w:val="Normal"/>
    <w:qFormat/>
    <w:rsid w:val="00956609"/>
    <w:pPr>
      <w:framePr w:w="2268" w:hSpace="181" w:vSpace="181" w:wrap="around" w:vAnchor="text" w:hAnchor="page" w:x="1135" w:y="285" w:anchorLock="1"/>
    </w:pPr>
    <w:rPr>
      <w:i/>
    </w:rPr>
  </w:style>
  <w:style w:type="paragraph" w:customStyle="1" w:styleId="MiniTOCTitle">
    <w:name w:val="MiniTOCTitle"/>
    <w:basedOn w:val="Heading4"/>
    <w:rsid w:val="00956609"/>
    <w:pPr>
      <w:spacing w:before="240"/>
      <w:outlineLvl w:val="9"/>
    </w:pPr>
    <w:rPr>
      <w:noProof/>
      <w:sz w:val="24"/>
    </w:rPr>
  </w:style>
  <w:style w:type="paragraph" w:customStyle="1" w:styleId="MiniTOCItem">
    <w:name w:val="MiniTOCItem"/>
    <w:basedOn w:val="ListBullet"/>
    <w:rsid w:val="00956609"/>
    <w:pPr>
      <w:numPr>
        <w:numId w:val="0"/>
      </w:numPr>
      <w:tabs>
        <w:tab w:val="right" w:leader="dot" w:pos="6521"/>
      </w:tabs>
      <w:spacing w:before="0" w:after="0"/>
    </w:pPr>
  </w:style>
  <w:style w:type="paragraph" w:customStyle="1" w:styleId="TOFTitle">
    <w:name w:val="TOFTitle"/>
    <w:basedOn w:val="TOCTitle"/>
    <w:rsid w:val="00956609"/>
  </w:style>
  <w:style w:type="paragraph" w:styleId="TableofFigures">
    <w:name w:val="table of figures"/>
    <w:basedOn w:val="Normal"/>
    <w:next w:val="Normal"/>
    <w:semiHidden/>
    <w:rsid w:val="00956609"/>
    <w:pPr>
      <w:tabs>
        <w:tab w:val="right" w:leader="dot" w:pos="9072"/>
      </w:tabs>
      <w:ind w:left="970" w:hanging="403"/>
    </w:pPr>
    <w:rPr>
      <w:rFonts w:ascii="Times New Roman" w:hAnsi="Times New Roman"/>
      <w:b/>
    </w:rPr>
  </w:style>
  <w:style w:type="paragraph" w:styleId="ListNumber">
    <w:name w:val="List Number"/>
    <w:basedOn w:val="List"/>
    <w:rsid w:val="00956609"/>
    <w:pPr>
      <w:numPr>
        <w:numId w:val="13"/>
      </w:numPr>
      <w:tabs>
        <w:tab w:val="clear" w:pos="340"/>
      </w:tabs>
    </w:pPr>
  </w:style>
  <w:style w:type="character" w:customStyle="1" w:styleId="WingdingSymbols">
    <w:name w:val="Wingding Symbols"/>
    <w:rsid w:val="00956609"/>
    <w:rPr>
      <w:rFonts w:ascii="Wingdings" w:hAnsi="Wingdings"/>
    </w:rPr>
  </w:style>
  <w:style w:type="paragraph" w:customStyle="1" w:styleId="TableHeading">
    <w:name w:val="Table Heading"/>
    <w:basedOn w:val="HeadingBase"/>
    <w:rsid w:val="00956609"/>
    <w:pPr>
      <w:keepLines/>
      <w:pBdr>
        <w:bottom w:val="single" w:sz="6" w:space="1" w:color="918585"/>
      </w:pBdr>
      <w:spacing w:before="240"/>
    </w:pPr>
  </w:style>
  <w:style w:type="character" w:customStyle="1" w:styleId="HotSpot">
    <w:name w:val="HotSpot"/>
    <w:rsid w:val="00956609"/>
    <w:rPr>
      <w:color w:val="0033CC"/>
      <w:u w:val="none"/>
    </w:rPr>
  </w:style>
  <w:style w:type="paragraph" w:customStyle="1" w:styleId="BodyTextRight">
    <w:name w:val="Body Text Right"/>
    <w:basedOn w:val="BodyText"/>
    <w:rsid w:val="00956609"/>
    <w:pPr>
      <w:spacing w:before="0" w:after="0"/>
      <w:jc w:val="right"/>
    </w:pPr>
  </w:style>
  <w:style w:type="paragraph" w:styleId="Index3">
    <w:name w:val="index 3"/>
    <w:basedOn w:val="ListNumber2"/>
    <w:next w:val="Normal"/>
    <w:semiHidden/>
    <w:rsid w:val="00956609"/>
    <w:pPr>
      <w:numPr>
        <w:numId w:val="0"/>
      </w:numPr>
      <w:tabs>
        <w:tab w:val="right" w:leader="dot" w:pos="4176"/>
      </w:tabs>
    </w:pPr>
  </w:style>
  <w:style w:type="paragraph" w:styleId="ListNumber2">
    <w:name w:val="List Number 2"/>
    <w:basedOn w:val="List2"/>
    <w:rsid w:val="00956609"/>
    <w:pPr>
      <w:numPr>
        <w:numId w:val="8"/>
      </w:numPr>
      <w:tabs>
        <w:tab w:val="clear" w:pos="1060"/>
      </w:tabs>
    </w:pPr>
  </w:style>
  <w:style w:type="paragraph" w:customStyle="1" w:styleId="MarginNote">
    <w:name w:val="Margin Note"/>
    <w:basedOn w:val="BodyText"/>
    <w:rsid w:val="00956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609"/>
    <w:rPr>
      <w:sz w:val="32"/>
    </w:rPr>
  </w:style>
  <w:style w:type="paragraph" w:customStyle="1" w:styleId="HeadingProcedure">
    <w:name w:val="Heading Procedure"/>
    <w:basedOn w:val="HeadingBase"/>
    <w:next w:val="Normal"/>
    <w:rsid w:val="00956609"/>
    <w:pPr>
      <w:tabs>
        <w:tab w:val="left" w:pos="0"/>
      </w:tabs>
      <w:spacing w:before="120" w:after="60"/>
    </w:pPr>
    <w:rPr>
      <w:i/>
      <w:color w:val="918585"/>
      <w:sz w:val="22"/>
    </w:rPr>
  </w:style>
  <w:style w:type="paragraph" w:customStyle="1" w:styleId="TableBodyText">
    <w:name w:val="Table Body Text"/>
    <w:basedOn w:val="BodyText"/>
    <w:rsid w:val="00956609"/>
    <w:pPr>
      <w:spacing w:before="60" w:after="60"/>
    </w:pPr>
  </w:style>
  <w:style w:type="paragraph" w:styleId="ListContinue">
    <w:name w:val="List Continue"/>
    <w:basedOn w:val="List"/>
    <w:rsid w:val="00956609"/>
    <w:pPr>
      <w:ind w:firstLine="0"/>
    </w:pPr>
  </w:style>
  <w:style w:type="paragraph" w:customStyle="1" w:styleId="ListNote">
    <w:name w:val="List Note"/>
    <w:basedOn w:val="List"/>
    <w:rsid w:val="00956609"/>
    <w:pPr>
      <w:pBdr>
        <w:top w:val="single" w:sz="6" w:space="2" w:color="918585"/>
        <w:bottom w:val="single" w:sz="6" w:space="2" w:color="918585"/>
      </w:pBdr>
      <w:tabs>
        <w:tab w:val="left" w:pos="1021"/>
      </w:tabs>
      <w:ind w:firstLine="0"/>
    </w:pPr>
  </w:style>
  <w:style w:type="paragraph" w:customStyle="1" w:styleId="Warning">
    <w:name w:val="Warning"/>
    <w:basedOn w:val="BodyText"/>
    <w:rsid w:val="00956609"/>
    <w:pPr>
      <w:shd w:val="clear" w:color="auto" w:fill="D9D9D9"/>
      <w:tabs>
        <w:tab w:val="left" w:pos="992"/>
      </w:tabs>
      <w:ind w:left="119" w:right="119"/>
    </w:pPr>
    <w:rPr>
      <w:sz w:val="20"/>
    </w:rPr>
  </w:style>
  <w:style w:type="paragraph" w:customStyle="1" w:styleId="MarginIcons">
    <w:name w:val="Margin Icons"/>
    <w:basedOn w:val="BodyText"/>
    <w:rsid w:val="00956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609"/>
    <w:rPr>
      <w:rFonts w:ascii="Courier New" w:hAnsi="Courier New"/>
    </w:rPr>
  </w:style>
  <w:style w:type="paragraph" w:customStyle="1" w:styleId="NoteBullet">
    <w:name w:val="Note Bullet"/>
    <w:basedOn w:val="Note"/>
    <w:rsid w:val="00956609"/>
    <w:pPr>
      <w:tabs>
        <w:tab w:val="clear" w:pos="680"/>
      </w:tabs>
      <w:spacing w:before="60" w:after="60"/>
    </w:pPr>
  </w:style>
  <w:style w:type="paragraph" w:customStyle="1" w:styleId="SubHeading2">
    <w:name w:val="SubHeading2"/>
    <w:basedOn w:val="HeadingBase"/>
    <w:rsid w:val="00956609"/>
    <w:pPr>
      <w:spacing w:before="240" w:after="60"/>
    </w:pPr>
    <w:rPr>
      <w:sz w:val="20"/>
    </w:rPr>
  </w:style>
  <w:style w:type="paragraph" w:customStyle="1" w:styleId="SubHeading1">
    <w:name w:val="SubHeading1"/>
    <w:basedOn w:val="HeadingBase"/>
    <w:rsid w:val="00956609"/>
    <w:pPr>
      <w:spacing w:before="240" w:after="60"/>
    </w:pPr>
    <w:rPr>
      <w:color w:val="918585"/>
      <w:sz w:val="22"/>
    </w:rPr>
  </w:style>
  <w:style w:type="paragraph" w:customStyle="1" w:styleId="SideHeading">
    <w:name w:val="Side Heading"/>
    <w:basedOn w:val="HeadingBase"/>
    <w:rsid w:val="00956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609"/>
    <w:pPr>
      <w:numPr>
        <w:numId w:val="9"/>
      </w:numPr>
    </w:pPr>
  </w:style>
  <w:style w:type="paragraph" w:styleId="PlainText">
    <w:name w:val="Plain Text"/>
    <w:basedOn w:val="Normal"/>
    <w:link w:val="PlainTextChar"/>
    <w:rsid w:val="00956609"/>
    <w:rPr>
      <w:sz w:val="20"/>
    </w:rPr>
  </w:style>
  <w:style w:type="character" w:customStyle="1" w:styleId="PlainTextChar">
    <w:name w:val="Plain Text Char"/>
    <w:basedOn w:val="DefaultParagraphFont"/>
    <w:link w:val="PlainText"/>
    <w:rsid w:val="00956609"/>
    <w:rPr>
      <w:rFonts w:ascii="Courier New" w:eastAsia="Times New Roman" w:hAnsi="Courier New" w:cs="Times New Roman"/>
      <w:sz w:val="20"/>
      <w:szCs w:val="20"/>
      <w:lang w:eastAsia="en-US"/>
    </w:rPr>
  </w:style>
  <w:style w:type="character" w:customStyle="1" w:styleId="MenuOption">
    <w:name w:val="Menu Option"/>
    <w:basedOn w:val="DefaultParagraphFont"/>
    <w:rsid w:val="00956609"/>
    <w:rPr>
      <w:b/>
      <w:smallCaps/>
    </w:rPr>
  </w:style>
  <w:style w:type="paragraph" w:customStyle="1" w:styleId="TableListNumber">
    <w:name w:val="Table List Number"/>
    <w:basedOn w:val="ListNumber"/>
    <w:rsid w:val="00956609"/>
    <w:pPr>
      <w:numPr>
        <w:numId w:val="0"/>
      </w:numPr>
    </w:pPr>
  </w:style>
  <w:style w:type="paragraph" w:styleId="TOC4">
    <w:name w:val="toc 4"/>
    <w:basedOn w:val="TOCBase"/>
    <w:next w:val="Normal"/>
    <w:semiHidden/>
    <w:rsid w:val="00956609"/>
    <w:pPr>
      <w:tabs>
        <w:tab w:val="right" w:leader="dot" w:pos="9071"/>
      </w:tabs>
      <w:ind w:left="1701"/>
    </w:pPr>
  </w:style>
  <w:style w:type="paragraph" w:customStyle="1" w:styleId="ListAlpha">
    <w:name w:val="List Alpha"/>
    <w:basedOn w:val="List"/>
    <w:rsid w:val="00956609"/>
    <w:pPr>
      <w:numPr>
        <w:numId w:val="7"/>
      </w:numPr>
    </w:pPr>
  </w:style>
  <w:style w:type="paragraph" w:customStyle="1" w:styleId="ListAlpha2">
    <w:name w:val="List Alpha 2"/>
    <w:basedOn w:val="List2"/>
    <w:rsid w:val="00956609"/>
    <w:pPr>
      <w:numPr>
        <w:numId w:val="6"/>
      </w:numPr>
    </w:pPr>
  </w:style>
  <w:style w:type="paragraph" w:styleId="List2">
    <w:name w:val="List 2"/>
    <w:basedOn w:val="BodyText"/>
    <w:rsid w:val="00956609"/>
    <w:pPr>
      <w:tabs>
        <w:tab w:val="left" w:pos="680"/>
      </w:tabs>
      <w:spacing w:before="60" w:after="60"/>
      <w:ind w:left="680" w:hanging="340"/>
    </w:pPr>
  </w:style>
  <w:style w:type="paragraph" w:styleId="List3">
    <w:name w:val="List 3"/>
    <w:basedOn w:val="BodyText"/>
    <w:rsid w:val="00956609"/>
    <w:pPr>
      <w:tabs>
        <w:tab w:val="left" w:pos="1021"/>
      </w:tabs>
      <w:spacing w:before="60" w:after="60"/>
      <w:ind w:left="1020" w:hanging="340"/>
    </w:pPr>
  </w:style>
  <w:style w:type="paragraph" w:styleId="List4">
    <w:name w:val="List 4"/>
    <w:basedOn w:val="BodyText"/>
    <w:rsid w:val="00956609"/>
    <w:pPr>
      <w:tabs>
        <w:tab w:val="left" w:pos="1361"/>
      </w:tabs>
      <w:spacing w:before="60" w:after="60"/>
      <w:ind w:left="1361" w:hanging="340"/>
    </w:pPr>
  </w:style>
  <w:style w:type="paragraph" w:styleId="List5">
    <w:name w:val="List 5"/>
    <w:basedOn w:val="BodyText"/>
    <w:rsid w:val="00956609"/>
    <w:pPr>
      <w:tabs>
        <w:tab w:val="left" w:pos="1701"/>
      </w:tabs>
      <w:spacing w:before="60" w:after="60"/>
      <w:ind w:left="1701" w:hanging="340"/>
    </w:pPr>
  </w:style>
  <w:style w:type="paragraph" w:styleId="ListBullet3">
    <w:name w:val="List Bullet 3"/>
    <w:basedOn w:val="List3"/>
    <w:rsid w:val="00956609"/>
    <w:pPr>
      <w:numPr>
        <w:numId w:val="12"/>
      </w:numPr>
      <w:tabs>
        <w:tab w:val="clear" w:pos="1021"/>
      </w:tabs>
      <w:ind w:left="1037" w:hanging="357"/>
    </w:pPr>
  </w:style>
  <w:style w:type="paragraph" w:styleId="ListBullet4">
    <w:name w:val="List Bullet 4"/>
    <w:basedOn w:val="List4"/>
    <w:rsid w:val="00956609"/>
    <w:pPr>
      <w:numPr>
        <w:numId w:val="1"/>
      </w:numPr>
      <w:tabs>
        <w:tab w:val="clear" w:pos="1361"/>
      </w:tabs>
    </w:pPr>
  </w:style>
  <w:style w:type="paragraph" w:styleId="ListBullet5">
    <w:name w:val="List Bullet 5"/>
    <w:basedOn w:val="List5"/>
    <w:rsid w:val="00956609"/>
    <w:pPr>
      <w:numPr>
        <w:numId w:val="2"/>
      </w:numPr>
    </w:pPr>
  </w:style>
  <w:style w:type="paragraph" w:styleId="ListContinue2">
    <w:name w:val="List Continue 2"/>
    <w:basedOn w:val="List2"/>
    <w:rsid w:val="00956609"/>
    <w:pPr>
      <w:ind w:firstLine="0"/>
    </w:pPr>
  </w:style>
  <w:style w:type="paragraph" w:styleId="ListContinue3">
    <w:name w:val="List Continue 3"/>
    <w:basedOn w:val="List3"/>
    <w:rsid w:val="00956609"/>
    <w:pPr>
      <w:ind w:left="1021" w:firstLine="0"/>
    </w:pPr>
  </w:style>
  <w:style w:type="paragraph" w:styleId="ListContinue4">
    <w:name w:val="List Continue 4"/>
    <w:basedOn w:val="List4"/>
    <w:rsid w:val="00956609"/>
    <w:pPr>
      <w:ind w:firstLine="0"/>
    </w:pPr>
  </w:style>
  <w:style w:type="paragraph" w:styleId="ListContinue5">
    <w:name w:val="List Continue 5"/>
    <w:basedOn w:val="List5"/>
    <w:rsid w:val="00956609"/>
    <w:pPr>
      <w:ind w:firstLine="0"/>
    </w:pPr>
  </w:style>
  <w:style w:type="paragraph" w:styleId="ListNumber3">
    <w:name w:val="List Number 3"/>
    <w:basedOn w:val="List3"/>
    <w:rsid w:val="00956609"/>
    <w:pPr>
      <w:numPr>
        <w:numId w:val="3"/>
      </w:numPr>
    </w:pPr>
  </w:style>
  <w:style w:type="paragraph" w:styleId="ListNumber4">
    <w:name w:val="List Number 4"/>
    <w:basedOn w:val="List4"/>
    <w:rsid w:val="00956609"/>
    <w:pPr>
      <w:numPr>
        <w:numId w:val="4"/>
      </w:numPr>
    </w:pPr>
  </w:style>
  <w:style w:type="paragraph" w:styleId="ListNumber5">
    <w:name w:val="List Number 5"/>
    <w:basedOn w:val="List5"/>
    <w:rsid w:val="00956609"/>
    <w:pPr>
      <w:numPr>
        <w:numId w:val="5"/>
      </w:numPr>
    </w:pPr>
  </w:style>
  <w:style w:type="paragraph" w:styleId="BlockText">
    <w:name w:val="Block Text"/>
    <w:basedOn w:val="Normal"/>
    <w:rsid w:val="00956609"/>
    <w:pPr>
      <w:spacing w:after="120"/>
      <w:ind w:left="1440" w:right="1440"/>
    </w:pPr>
  </w:style>
  <w:style w:type="character" w:customStyle="1" w:styleId="Subscript">
    <w:name w:val="Subscript"/>
    <w:basedOn w:val="DefaultParagraphFont"/>
    <w:rsid w:val="00956609"/>
    <w:rPr>
      <w:sz w:val="16"/>
      <w:vertAlign w:val="subscript"/>
    </w:rPr>
  </w:style>
  <w:style w:type="character" w:customStyle="1" w:styleId="Superscript">
    <w:name w:val="Superscript"/>
    <w:basedOn w:val="DefaultParagraphFont"/>
    <w:rsid w:val="00956609"/>
    <w:rPr>
      <w:sz w:val="16"/>
      <w:vertAlign w:val="superscript"/>
    </w:rPr>
  </w:style>
  <w:style w:type="character" w:customStyle="1" w:styleId="Symbols">
    <w:name w:val="Symbols"/>
    <w:basedOn w:val="DefaultParagraphFont"/>
    <w:rsid w:val="00956609"/>
    <w:rPr>
      <w:rFonts w:ascii="Symbol" w:hAnsi="Symbol"/>
    </w:rPr>
  </w:style>
  <w:style w:type="character" w:customStyle="1" w:styleId="MenuOptions">
    <w:name w:val="Menu Options"/>
    <w:basedOn w:val="DefaultParagraphFont"/>
    <w:rsid w:val="00956609"/>
    <w:rPr>
      <w:rFonts w:ascii="Arial Narrow" w:hAnsi="Arial Narrow"/>
      <w:smallCaps/>
    </w:rPr>
  </w:style>
  <w:style w:type="character" w:customStyle="1" w:styleId="Buttons">
    <w:name w:val="Buttons"/>
    <w:basedOn w:val="DefaultParagraphFont"/>
    <w:rsid w:val="00956609"/>
    <w:rPr>
      <w:b/>
    </w:rPr>
  </w:style>
  <w:style w:type="character" w:customStyle="1" w:styleId="Underlined">
    <w:name w:val="Underlined"/>
    <w:basedOn w:val="DefaultParagraphFont"/>
    <w:rsid w:val="00956609"/>
    <w:rPr>
      <w:u w:val="single"/>
    </w:rPr>
  </w:style>
  <w:style w:type="paragraph" w:customStyle="1" w:styleId="TableBodyTextRight">
    <w:name w:val="Table Body Text Right"/>
    <w:basedOn w:val="TableBodyText"/>
    <w:rsid w:val="00956609"/>
    <w:pPr>
      <w:widowControl w:val="0"/>
      <w:autoSpaceDE w:val="0"/>
      <w:autoSpaceDN w:val="0"/>
      <w:adjustRightInd w:val="0"/>
      <w:jc w:val="right"/>
    </w:pPr>
    <w:rPr>
      <w:rFonts w:cs="Arial"/>
      <w:szCs w:val="18"/>
    </w:rPr>
  </w:style>
  <w:style w:type="paragraph" w:customStyle="1" w:styleId="CopyrightText">
    <w:name w:val="Copyright Text"/>
    <w:basedOn w:val="BodyText"/>
    <w:rsid w:val="00956609"/>
    <w:rPr>
      <w:sz w:val="18"/>
    </w:rPr>
  </w:style>
  <w:style w:type="paragraph" w:customStyle="1" w:styleId="BodySmallRight">
    <w:name w:val="Body Small Right"/>
    <w:basedOn w:val="BodyTextRight"/>
    <w:rsid w:val="00956609"/>
    <w:rPr>
      <w:sz w:val="18"/>
      <w:szCs w:val="18"/>
    </w:rPr>
  </w:style>
  <w:style w:type="paragraph" w:customStyle="1" w:styleId="MarginEdition">
    <w:name w:val="Margin Edition"/>
    <w:basedOn w:val="MarginNote"/>
    <w:rsid w:val="00956609"/>
    <w:pPr>
      <w:spacing w:before="0" w:after="0"/>
    </w:pPr>
    <w:rPr>
      <w:rFonts w:ascii="Times New Roman" w:hAnsi="Times New Roman"/>
      <w:color w:val="999999"/>
    </w:rPr>
  </w:style>
  <w:style w:type="paragraph" w:customStyle="1" w:styleId="Spacer">
    <w:name w:val="Spacer"/>
    <w:basedOn w:val="Normal"/>
    <w:rsid w:val="00956609"/>
    <w:rPr>
      <w:sz w:val="2"/>
      <w:szCs w:val="2"/>
    </w:rPr>
  </w:style>
  <w:style w:type="character" w:customStyle="1" w:styleId="Small">
    <w:name w:val="Small"/>
    <w:basedOn w:val="DefaultParagraphFont"/>
    <w:rsid w:val="00956609"/>
    <w:rPr>
      <w:sz w:val="16"/>
    </w:rPr>
  </w:style>
  <w:style w:type="paragraph" w:customStyle="1" w:styleId="WideTable">
    <w:name w:val="Wide Table"/>
    <w:basedOn w:val="Normal"/>
    <w:rsid w:val="00956609"/>
    <w:pPr>
      <w:ind w:left="-1418"/>
    </w:pPr>
    <w:rPr>
      <w:sz w:val="2"/>
      <w:szCs w:val="2"/>
    </w:rPr>
  </w:style>
  <w:style w:type="character" w:styleId="PageNumber">
    <w:name w:val="page number"/>
    <w:basedOn w:val="DefaultParagraphFont"/>
    <w:rsid w:val="00956609"/>
  </w:style>
  <w:style w:type="paragraph" w:styleId="Quote">
    <w:name w:val="Quote"/>
    <w:basedOn w:val="Heading1"/>
    <w:link w:val="QuoteChar"/>
    <w:qFormat/>
    <w:rsid w:val="00956609"/>
    <w:rPr>
      <w:b w:val="0"/>
      <w:sz w:val="72"/>
      <w:szCs w:val="72"/>
      <w:lang w:val="en-NZ"/>
    </w:rPr>
  </w:style>
  <w:style w:type="character" w:customStyle="1" w:styleId="QuoteChar">
    <w:name w:val="Quote Char"/>
    <w:basedOn w:val="DefaultParagraphFont"/>
    <w:link w:val="Quote"/>
    <w:rsid w:val="00956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609"/>
    <w:pPr>
      <w:pageBreakBefore/>
    </w:pPr>
  </w:style>
  <w:style w:type="paragraph" w:customStyle="1" w:styleId="Border">
    <w:name w:val="Border"/>
    <w:basedOn w:val="Normal"/>
    <w:qFormat/>
    <w:rsid w:val="00956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609"/>
    <w:rPr>
      <w:b/>
      <w:bCs/>
      <w:i/>
      <w:iCs/>
      <w:color w:val="auto"/>
    </w:rPr>
  </w:style>
  <w:style w:type="paragraph" w:styleId="IntenseQuote">
    <w:name w:val="Intense Quote"/>
    <w:basedOn w:val="Normal"/>
    <w:next w:val="Normal"/>
    <w:link w:val="IntenseQuoteChar"/>
    <w:uiPriority w:val="30"/>
    <w:qFormat/>
    <w:rsid w:val="00956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609"/>
    <w:rPr>
      <w:smallCaps/>
      <w:color w:val="auto"/>
      <w:u w:val="single"/>
    </w:rPr>
  </w:style>
  <w:style w:type="character" w:styleId="IntenseReference">
    <w:name w:val="Intense Reference"/>
    <w:basedOn w:val="DefaultParagraphFont"/>
    <w:uiPriority w:val="32"/>
    <w:qFormat/>
    <w:rsid w:val="00956609"/>
    <w:rPr>
      <w:b/>
      <w:bCs/>
      <w:smallCaps/>
      <w:color w:val="auto"/>
      <w:spacing w:val="5"/>
      <w:u w:val="single"/>
    </w:rPr>
  </w:style>
  <w:style w:type="paragraph" w:customStyle="1" w:styleId="2ColumnHeading">
    <w:name w:val="2Column Heading"/>
    <w:basedOn w:val="BodyText"/>
    <w:qFormat/>
    <w:rsid w:val="00956609"/>
    <w:pPr>
      <w:spacing w:after="60"/>
      <w:ind w:left="-2268"/>
    </w:pPr>
    <w:rPr>
      <w:b/>
    </w:rPr>
  </w:style>
  <w:style w:type="paragraph" w:customStyle="1" w:styleId="Heading1TOC">
    <w:name w:val="Heading1 TOC"/>
    <w:basedOn w:val="Normal"/>
    <w:qFormat/>
    <w:rsid w:val="00956609"/>
    <w:pPr>
      <w:spacing w:before="240" w:after="120"/>
    </w:pPr>
    <w:rPr>
      <w:rFonts w:ascii="Times New Roman" w:hAnsi="Times New Roman"/>
      <w:b/>
      <w:sz w:val="32"/>
    </w:rPr>
  </w:style>
  <w:style w:type="paragraph" w:customStyle="1" w:styleId="Heading2TOC">
    <w:name w:val="Heading2 TOC"/>
    <w:basedOn w:val="Normal"/>
    <w:qFormat/>
    <w:rsid w:val="00956609"/>
    <w:pPr>
      <w:spacing w:before="240" w:after="60"/>
    </w:pPr>
    <w:rPr>
      <w:rFonts w:ascii="Times New Roman" w:hAnsi="Times New Roman"/>
      <w:b/>
      <w:sz w:val="28"/>
    </w:rPr>
  </w:style>
  <w:style w:type="character" w:customStyle="1" w:styleId="Underline">
    <w:name w:val="Underline"/>
    <w:basedOn w:val="DefaultParagraphFont"/>
    <w:qFormat/>
    <w:rsid w:val="00956609"/>
    <w:rPr>
      <w:u w:val="single"/>
    </w:rPr>
  </w:style>
  <w:style w:type="character" w:customStyle="1" w:styleId="BoldandItalics">
    <w:name w:val="Bold and Italics"/>
    <w:qFormat/>
    <w:rsid w:val="00956609"/>
    <w:rPr>
      <w:b/>
      <w:i/>
      <w:u w:val="none"/>
    </w:rPr>
  </w:style>
  <w:style w:type="paragraph" w:styleId="BalloonText">
    <w:name w:val="Balloon Text"/>
    <w:basedOn w:val="Normal"/>
    <w:link w:val="BalloonTextChar"/>
    <w:rsid w:val="00956609"/>
    <w:rPr>
      <w:rFonts w:ascii="Tahoma" w:hAnsi="Tahoma" w:cs="Tahoma"/>
      <w:sz w:val="16"/>
      <w:szCs w:val="16"/>
    </w:rPr>
  </w:style>
  <w:style w:type="character" w:customStyle="1" w:styleId="BalloonTextChar">
    <w:name w:val="Balloon Text Char"/>
    <w:basedOn w:val="DefaultParagraphFont"/>
    <w:link w:val="BalloonText"/>
    <w:rsid w:val="00956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609"/>
    <w:rPr>
      <w:b/>
      <w:color w:val="660033"/>
      <w:spacing w:val="0"/>
    </w:rPr>
  </w:style>
  <w:style w:type="paragraph" w:customStyle="1" w:styleId="Nameditemlist">
    <w:name w:val="Named item list"/>
    <w:basedOn w:val="BodyText"/>
    <w:qFormat/>
    <w:rsid w:val="00956609"/>
    <w:pPr>
      <w:tabs>
        <w:tab w:val="left" w:pos="2835"/>
      </w:tabs>
      <w:ind w:left="2835" w:hanging="2835"/>
    </w:pPr>
  </w:style>
  <w:style w:type="paragraph" w:customStyle="1" w:styleId="BodyTextnopadding">
    <w:name w:val="Body Text no padding"/>
    <w:basedOn w:val="BodyText"/>
    <w:qFormat/>
    <w:rsid w:val="00956609"/>
    <w:pPr>
      <w:spacing w:before="0" w:after="0"/>
    </w:pPr>
  </w:style>
  <w:style w:type="paragraph" w:customStyle="1" w:styleId="BodyTextBold">
    <w:name w:val="Body Text Bold"/>
    <w:basedOn w:val="BodyText"/>
    <w:qFormat/>
    <w:rsid w:val="00956609"/>
    <w:rPr>
      <w:b/>
    </w:rPr>
  </w:style>
  <w:style w:type="character" w:styleId="Hyperlink">
    <w:name w:val="Hyperlink"/>
    <w:basedOn w:val="DefaultParagraphFont"/>
    <w:uiPriority w:val="99"/>
    <w:unhideWhenUsed/>
    <w:rsid w:val="00592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4949</Characters>
  <Application>Microsoft Office Word</Application>
  <DocSecurity>0</DocSecurity>
  <Lines>149</Lines>
  <Paragraphs>73</Paragraphs>
  <ScaleCrop>false</ScaleCrop>
  <Company>Author-it Software Corporation Ltd.</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HLTENN040 Administer and monitor medicines and intravenous therapy</dc:title>
  <dc:subject>Approved</dc:subject>
  <dc:creator>SkillsIQ</dc:creator>
  <cp:keywords>Release: 2</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