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22B" w:rsidP="001B7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HLTENN040 Administer and monitor medicines and intravenous therapy</w:t>
      </w:r>
      <w:r>
        <w:fldChar w:fldCharType="end"/>
      </w:r>
    </w:p>
    <w:p w:rsidR="001B722B" w:rsidP="001B722B">
      <w:pPr>
        <w:pStyle w:val="Version"/>
        <w:sectPr w:rsidSect="00C61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1F8B" w:rsidP="00C61F8B">
      <w:pPr>
        <w:pStyle w:val="SuperHeading"/>
      </w:pPr>
      <w:r w:rsidRPr="00C61F8B">
        <w:t>Assessment Requirements for HLTENN040 Administer and monitor medicines and intravenous therapy</w:t>
      </w:r>
    </w:p>
    <w:p w:rsidR="00000000" w:rsidRPr="00C61F8B" w:rsidP="00C61F8B">
      <w:pPr>
        <w:pStyle w:val="Heading1"/>
      </w:pPr>
      <w:bookmarkStart w:id="1" w:name="O_1200393"/>
      <w:bookmarkEnd w:id="1"/>
      <w:r w:rsidRPr="00C61F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C6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1F8B" w:rsidP="00C61F8B">
            <w:pPr>
              <w:pStyle w:val="BodyText"/>
            </w:pPr>
            <w:r w:rsidRPr="00C61F8B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rPr>
                <w:rStyle w:val="SpecialBold"/>
              </w:rPr>
              <w:t>Comments</w:t>
            </w:r>
          </w:p>
        </w:tc>
      </w:tr>
      <w:tr w:rsidTr="00C6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F8B" w:rsidP="00C61F8B">
            <w:pPr>
              <w:pStyle w:val="BodyText"/>
            </w:pPr>
            <w:r w:rsidRPr="00C61F8B">
              <w:t>Release 2 HLTENN040 Administer and monitor medicines and intravenous therapy supersedes and is equivalent to Release 1 HLTENN040 Administer and monitor medicines and intravenous therapy.</w:t>
            </w:r>
          </w:p>
          <w:p w:rsidR="00000000" w:rsidRPr="00C61F8B" w:rsidP="00C61F8B">
            <w:pPr>
              <w:pStyle w:val="BodyText"/>
            </w:pPr>
            <w:r w:rsidRPr="00C61F8B">
              <w:t>Updated:</w:t>
            </w:r>
          </w:p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>Mapping details and minor corrections.</w:t>
            </w:r>
          </w:p>
        </w:tc>
      </w:tr>
      <w:tr w:rsidTr="00C6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F8B" w:rsidP="00C61F8B">
            <w:pPr>
              <w:pStyle w:val="BodyText"/>
            </w:pPr>
            <w:r w:rsidRPr="00C61F8B">
              <w:t xml:space="preserve">HLTENN040 </w:t>
            </w:r>
            <w:r w:rsidRPr="00C61F8B">
              <w:t>Administer and monitor medicines and intravenous therapy supersedes and is not equivalent to HLTENN007 Administer and monitor medicines and intravenous therapy.</w:t>
            </w:r>
          </w:p>
        </w:tc>
      </w:tr>
    </w:tbl>
    <w:p w:rsidR="00000000" w:rsidRPr="00C61F8B" w:rsidP="00C61F8B">
      <w:pPr>
        <w:pStyle w:val="BodyText"/>
      </w:pPr>
    </w:p>
    <w:p w:rsidR="00000000" w:rsidRPr="00C61F8B" w:rsidP="00C61F8B">
      <w:pPr>
        <w:pStyle w:val="AllowPageBreak"/>
      </w:pPr>
    </w:p>
    <w:p w:rsidR="00000000" w:rsidRPr="00C61F8B" w:rsidP="00C61F8B">
      <w:pPr>
        <w:pStyle w:val="Heading1"/>
      </w:pPr>
      <w:bookmarkStart w:id="2" w:name="O_1200392"/>
      <w:bookmarkEnd w:id="2"/>
      <w:r w:rsidRPr="00C61F8B">
        <w:t>Performance Evidence</w:t>
      </w:r>
    </w:p>
    <w:p w:rsidR="00000000" w:rsidRPr="00C61F8B" w:rsidP="001B722B">
      <w:pPr>
        <w:pStyle w:val="BodyText"/>
      </w:pPr>
      <w:r w:rsidRPr="00C61F8B">
        <w:t>Demonstrate evidence of the ability to complete tasks outlined in elements and performance criteria of this unit in the context of the job role, and:</w:t>
      </w:r>
    </w:p>
    <w:p w:rsidR="00000000" w:rsidRPr="00C61F8B" w:rsidP="00C61F8B">
      <w:pPr>
        <w:pStyle w:val="ListBullet"/>
      </w:pPr>
      <w:r w:rsidRPr="00C61F8B">
        <w:t>for two people:</w:t>
      </w:r>
    </w:p>
    <w:p w:rsidR="00000000" w:rsidRPr="00C61F8B" w:rsidP="00C61F8B">
      <w:pPr>
        <w:pStyle w:val="ListBullet2"/>
      </w:pPr>
      <w:r w:rsidRPr="00C61F8B">
        <w:t>reference medical history records to identify documented allergies and contraindications</w:t>
      </w:r>
    </w:p>
    <w:p w:rsidR="00000000" w:rsidRPr="00C61F8B" w:rsidP="00C61F8B">
      <w:pPr>
        <w:pStyle w:val="ListBullet2"/>
      </w:pPr>
      <w:r w:rsidRPr="00C61F8B">
        <w:t>use the Rights of Medication Administration and calculate medicine with 100% accuracy to administer medicines:</w:t>
      </w:r>
    </w:p>
    <w:p w:rsidR="00000000" w:rsidRPr="00C61F8B" w:rsidP="00C61F8B">
      <w:pPr>
        <w:pStyle w:val="ListBullet3"/>
      </w:pPr>
      <w:r w:rsidRPr="00C61F8B">
        <w:t>oral medicine including two in simulation and three in the workplace</w:t>
      </w:r>
    </w:p>
    <w:p w:rsidR="00000000" w:rsidRPr="00C61F8B" w:rsidP="00C61F8B">
      <w:pPr>
        <w:pStyle w:val="ListBullet3"/>
      </w:pPr>
      <w:r w:rsidRPr="00C61F8B">
        <w:t>sub-cutaneous injection including one in simulation and one in the workplace</w:t>
      </w:r>
    </w:p>
    <w:p w:rsidR="00000000" w:rsidRPr="00C61F8B" w:rsidP="00C61F8B">
      <w:pPr>
        <w:pStyle w:val="ListBullet3"/>
      </w:pPr>
      <w:r w:rsidRPr="00C61F8B">
        <w:t xml:space="preserve">intramuscular injection in simulation </w:t>
      </w:r>
    </w:p>
    <w:p w:rsidR="00000000" w:rsidRPr="00C61F8B" w:rsidP="00C61F8B">
      <w:pPr>
        <w:pStyle w:val="ListBullet3"/>
      </w:pPr>
      <w:r w:rsidRPr="00C61F8B">
        <w:t>peripheral IV injection including one in simulation and one in the workplace</w:t>
      </w:r>
    </w:p>
    <w:p w:rsidR="00000000" w:rsidRPr="00C61F8B" w:rsidP="00C61F8B">
      <w:pPr>
        <w:pStyle w:val="ListBullet2"/>
      </w:pPr>
      <w:r w:rsidRPr="00C61F8B">
        <w:t>prepare equipment for IV therapy and blood and blood products</w:t>
      </w:r>
    </w:p>
    <w:p w:rsidR="00000000" w:rsidRPr="00C61F8B" w:rsidP="00C61F8B">
      <w:pPr>
        <w:pStyle w:val="ListBullet2"/>
      </w:pPr>
      <w:r w:rsidRPr="00C61F8B">
        <w:t>monitor administration including assessing cannula site</w:t>
      </w:r>
    </w:p>
    <w:p w:rsidR="00000000" w:rsidRPr="00C61F8B" w:rsidP="001B722B">
      <w:pPr>
        <w:pStyle w:val="BodyText"/>
      </w:pPr>
      <w:r w:rsidRPr="00C61F8B">
        <w:t>The tasks must be undertaken in accordance with the Nursing and Midwifery Board of Australia (NMBA) professional practice standards, codes and guidelines.</w:t>
      </w:r>
    </w:p>
    <w:p w:rsidR="00000000" w:rsidRPr="00C61F8B" w:rsidP="00C61F8B">
      <w:pPr>
        <w:pStyle w:val="Heading1"/>
      </w:pPr>
      <w:bookmarkStart w:id="3" w:name="O_1200391"/>
      <w:bookmarkEnd w:id="3"/>
      <w:r w:rsidRPr="00C61F8B">
        <w:t>Knowledge Evidence</w:t>
      </w:r>
    </w:p>
    <w:p w:rsidR="00000000" w:rsidRPr="00C61F8B" w:rsidP="001B722B">
      <w:pPr>
        <w:pStyle w:val="BodyText"/>
      </w:pPr>
      <w:r w:rsidRPr="00C61F8B">
        <w:t>Demonst</w:t>
      </w:r>
      <w:r w:rsidRPr="00C61F8B">
        <w:t>rate knowledge required to complete tasks outlined in elements and performance criteria of this unit:</w:t>
      </w:r>
    </w:p>
    <w:p w:rsidR="00000000" w:rsidRPr="00C61F8B" w:rsidP="00C61F8B">
      <w:pPr>
        <w:pStyle w:val="ListBullet"/>
      </w:pPr>
      <w:r w:rsidRPr="00C61F8B">
        <w:t>legal requirements for practice parameters of enrolled nurse in relation to the administration and documentation of medicine, including legal requirement</w:t>
      </w:r>
      <w:r w:rsidRPr="00C61F8B">
        <w:t>s for each route of administration</w:t>
      </w:r>
    </w:p>
    <w:p w:rsidR="00000000" w:rsidRPr="00C61F8B" w:rsidP="00C61F8B">
      <w:pPr>
        <w:pStyle w:val="ListBullet"/>
      </w:pPr>
      <w:r w:rsidRPr="00C61F8B">
        <w:t>Australian Commission on Safety and Quality in Health Care (ACSQHC) National Standard Medication Charts</w:t>
      </w:r>
    </w:p>
    <w:p w:rsidR="00000000" w:rsidRPr="00C61F8B" w:rsidP="00C61F8B">
      <w:pPr>
        <w:pStyle w:val="ListBullet"/>
      </w:pPr>
      <w:r w:rsidRPr="00C61F8B">
        <w:t>legal and regulatory framework including Commonwealth and State/Territory drugs and poisons acts, regulations and codes</w:t>
      </w:r>
    </w:p>
    <w:p w:rsidR="00000000" w:rsidRPr="00C61F8B" w:rsidP="00C61F8B">
      <w:pPr>
        <w:pStyle w:val="ListBullet"/>
      </w:pPr>
      <w:r w:rsidRPr="00C61F8B">
        <w:t>pharmacology of medicine:</w:t>
      </w:r>
    </w:p>
    <w:p w:rsidR="00000000" w:rsidRPr="00C61F8B" w:rsidP="00C61F8B">
      <w:pPr>
        <w:pStyle w:val="ListBullet2"/>
      </w:pPr>
      <w:r w:rsidRPr="00C61F8B">
        <w:t>pharmacodynamics</w:t>
      </w:r>
    </w:p>
    <w:p w:rsidR="00000000" w:rsidRPr="00C61F8B" w:rsidP="00C61F8B">
      <w:pPr>
        <w:pStyle w:val="ListBullet2"/>
      </w:pPr>
      <w:r w:rsidRPr="00C61F8B">
        <w:t>pharmacokinetics</w:t>
      </w:r>
    </w:p>
    <w:p w:rsidR="00000000" w:rsidRPr="00C61F8B" w:rsidP="00C61F8B">
      <w:pPr>
        <w:pStyle w:val="ListBullet2"/>
      </w:pPr>
      <w:r w:rsidRPr="00C61F8B">
        <w:t>pharmacotherapeutics</w:t>
      </w:r>
    </w:p>
    <w:p w:rsidR="00000000" w:rsidRPr="00C61F8B" w:rsidP="00C61F8B">
      <w:pPr>
        <w:pStyle w:val="ListBullet2"/>
      </w:pPr>
      <w:r w:rsidRPr="00C61F8B">
        <w:t>therapeutic drug levels</w:t>
      </w:r>
    </w:p>
    <w:p w:rsidR="00000000" w:rsidRPr="00C61F8B" w:rsidP="00C61F8B">
      <w:pPr>
        <w:pStyle w:val="ListBullet2"/>
      </w:pPr>
      <w:r w:rsidRPr="00C61F8B">
        <w:t>anaphylactic reactions</w:t>
      </w:r>
    </w:p>
    <w:p w:rsidR="00000000" w:rsidRPr="00C61F8B" w:rsidP="00C61F8B">
      <w:pPr>
        <w:pStyle w:val="ListBullet2"/>
      </w:pPr>
      <w:r w:rsidRPr="00C61F8B">
        <w:t>adverse</w:t>
      </w:r>
      <w:r w:rsidRPr="00C61F8B">
        <w:t xml:space="preserve"> reactions</w:t>
      </w:r>
    </w:p>
    <w:p w:rsidR="00000000" w:rsidRPr="00C61F8B" w:rsidP="00C61F8B">
      <w:pPr>
        <w:pStyle w:val="ListBullet2"/>
      </w:pPr>
      <w:r w:rsidRPr="00C61F8B">
        <w:t>contraindications</w:t>
      </w:r>
    </w:p>
    <w:p w:rsidR="00000000" w:rsidRPr="00C61F8B" w:rsidP="00C61F8B">
      <w:pPr>
        <w:pStyle w:val="ListBullet2"/>
      </w:pPr>
      <w:r w:rsidRPr="00C61F8B">
        <w:t>precautions</w:t>
      </w:r>
    </w:p>
    <w:p w:rsidR="00000000" w:rsidRPr="00C61F8B" w:rsidP="00C61F8B">
      <w:pPr>
        <w:pStyle w:val="ListBullet2"/>
      </w:pPr>
      <w:r w:rsidRPr="00C61F8B">
        <w:t>side effects</w:t>
      </w:r>
    </w:p>
    <w:p w:rsidR="00000000" w:rsidRPr="00C61F8B" w:rsidP="00C61F8B">
      <w:pPr>
        <w:pStyle w:val="ListBullet"/>
      </w:pPr>
      <w:r w:rsidRPr="00C61F8B">
        <w:t>management of potential complications of blood transfusion</w:t>
      </w:r>
    </w:p>
    <w:p w:rsidR="00000000" w:rsidRPr="00C61F8B" w:rsidP="00C61F8B">
      <w:pPr>
        <w:pStyle w:val="ListBullet"/>
      </w:pPr>
      <w:r w:rsidRPr="00C61F8B">
        <w:t>safe transport, storage, handling, checking and disposal of blood and blood products</w:t>
      </w:r>
    </w:p>
    <w:p w:rsidR="00000000" w:rsidRPr="00C61F8B" w:rsidP="00C61F8B">
      <w:pPr>
        <w:pStyle w:val="ListBullet"/>
      </w:pPr>
      <w:r w:rsidRPr="00C61F8B">
        <w:t>Rights of Medication Administration requirements:</w:t>
      </w:r>
    </w:p>
    <w:p w:rsidR="00000000" w:rsidRPr="00C61F8B" w:rsidP="00C61F8B">
      <w:pPr>
        <w:pStyle w:val="ListBullet2"/>
      </w:pPr>
      <w:r w:rsidRPr="00C61F8B">
        <w:t>right medicine</w:t>
      </w:r>
    </w:p>
    <w:p w:rsidR="00000000" w:rsidRPr="00C61F8B" w:rsidP="00C61F8B">
      <w:pPr>
        <w:pStyle w:val="ListBullet2"/>
      </w:pPr>
      <w:r w:rsidRPr="00C61F8B">
        <w:t>right dose</w:t>
      </w:r>
    </w:p>
    <w:p w:rsidR="00000000" w:rsidRPr="00C61F8B" w:rsidP="00C61F8B">
      <w:pPr>
        <w:pStyle w:val="ListBullet2"/>
      </w:pPr>
      <w:r w:rsidRPr="00C61F8B">
        <w:t>right prescription</w:t>
      </w:r>
    </w:p>
    <w:p w:rsidR="00000000" w:rsidRPr="00C61F8B" w:rsidP="00C61F8B">
      <w:pPr>
        <w:pStyle w:val="ListBullet2"/>
      </w:pPr>
      <w:r w:rsidRPr="00C61F8B">
        <w:t>right route</w:t>
      </w:r>
    </w:p>
    <w:p w:rsidR="00000000" w:rsidRPr="00C61F8B" w:rsidP="00C61F8B">
      <w:pPr>
        <w:pStyle w:val="ListBullet2"/>
      </w:pPr>
      <w:r w:rsidRPr="00C61F8B">
        <w:t>right time</w:t>
      </w:r>
    </w:p>
    <w:p w:rsidR="00000000" w:rsidRPr="00C61F8B" w:rsidP="00C61F8B">
      <w:pPr>
        <w:pStyle w:val="ListBullet2"/>
      </w:pPr>
      <w:r w:rsidRPr="00C61F8B">
        <w:t>right person</w:t>
      </w:r>
    </w:p>
    <w:p w:rsidR="00000000" w:rsidRPr="00C61F8B" w:rsidP="00C61F8B">
      <w:pPr>
        <w:pStyle w:val="ListBullet2"/>
      </w:pPr>
      <w:r w:rsidRPr="00C61F8B">
        <w:t>right expiration date</w:t>
      </w:r>
    </w:p>
    <w:p w:rsidR="00000000" w:rsidRPr="00C61F8B" w:rsidP="00C61F8B">
      <w:pPr>
        <w:pStyle w:val="ListBullet2"/>
      </w:pPr>
      <w:r w:rsidRPr="00C61F8B">
        <w:t>right to refuse</w:t>
      </w:r>
    </w:p>
    <w:p w:rsidR="00000000" w:rsidRPr="00C61F8B" w:rsidP="00C61F8B">
      <w:pPr>
        <w:pStyle w:val="ListBullet2"/>
      </w:pPr>
      <w:r w:rsidRPr="00C61F8B">
        <w:t>right documentation</w:t>
      </w:r>
    </w:p>
    <w:p w:rsidR="00000000" w:rsidRPr="00C61F8B" w:rsidP="00C61F8B">
      <w:pPr>
        <w:pStyle w:val="ListBullet2"/>
      </w:pPr>
      <w:r w:rsidRPr="00C61F8B">
        <w:t>right response</w:t>
      </w:r>
    </w:p>
    <w:p w:rsidR="00000000" w:rsidRPr="00C61F8B" w:rsidP="00C61F8B">
      <w:pPr>
        <w:pStyle w:val="ListBullet2"/>
      </w:pPr>
      <w:r w:rsidRPr="00C61F8B">
        <w:t>right form</w:t>
      </w:r>
    </w:p>
    <w:p w:rsidR="00000000" w:rsidRPr="00C61F8B" w:rsidP="00C61F8B">
      <w:pPr>
        <w:pStyle w:val="ListBullet"/>
      </w:pPr>
      <w:r w:rsidRPr="00C61F8B">
        <w:t>high risk medicine as per the ACSQHC</w:t>
      </w:r>
    </w:p>
    <w:p w:rsidR="00000000" w:rsidRPr="00C61F8B" w:rsidP="00C61F8B">
      <w:pPr>
        <w:pStyle w:val="ListBullet"/>
      </w:pPr>
      <w:r w:rsidRPr="00C61F8B">
        <w:t>how medicine is administered via the following routes</w:t>
      </w:r>
      <w:r w:rsidRPr="00C61F8B">
        <w:t>:</w:t>
      </w:r>
    </w:p>
    <w:p w:rsidR="00000000" w:rsidRPr="00C61F8B" w:rsidP="00C61F8B">
      <w:pPr>
        <w:pStyle w:val="ListBullet2"/>
      </w:pPr>
      <w:r w:rsidRPr="00C61F8B">
        <w:t>oral</w:t>
      </w:r>
    </w:p>
    <w:p w:rsidR="00000000" w:rsidRPr="00C61F8B" w:rsidP="00C61F8B">
      <w:pPr>
        <w:pStyle w:val="ListBullet2"/>
      </w:pPr>
      <w:r w:rsidRPr="00C61F8B">
        <w:t>sublingual and buccal</w:t>
      </w:r>
    </w:p>
    <w:p w:rsidR="00000000" w:rsidRPr="00C61F8B" w:rsidP="00C61F8B">
      <w:pPr>
        <w:pStyle w:val="ListBullet2"/>
      </w:pPr>
      <w:r w:rsidRPr="00C61F8B">
        <w:t>inhalation</w:t>
      </w:r>
    </w:p>
    <w:p w:rsidR="00000000" w:rsidRPr="00C61F8B" w:rsidP="00C61F8B">
      <w:pPr>
        <w:pStyle w:val="ListBullet2"/>
      </w:pPr>
      <w:r w:rsidRPr="00C61F8B">
        <w:t>subcutaneous</w:t>
      </w:r>
    </w:p>
    <w:p w:rsidR="00000000" w:rsidRPr="00C61F8B" w:rsidP="00C61F8B">
      <w:pPr>
        <w:pStyle w:val="ListBullet2"/>
      </w:pPr>
      <w:r w:rsidRPr="00C61F8B">
        <w:t>intramuscular</w:t>
      </w:r>
    </w:p>
    <w:p w:rsidR="00000000" w:rsidRPr="00C61F8B" w:rsidP="00C61F8B">
      <w:pPr>
        <w:pStyle w:val="ListBullet2"/>
      </w:pPr>
      <w:r w:rsidRPr="00C61F8B">
        <w:t>intravenous</w:t>
      </w:r>
    </w:p>
    <w:p w:rsidR="00000000" w:rsidRPr="00C61F8B" w:rsidP="00C61F8B">
      <w:pPr>
        <w:pStyle w:val="ListBullet2"/>
      </w:pPr>
      <w:r w:rsidRPr="00C61F8B">
        <w:t>enteral</w:t>
      </w:r>
    </w:p>
    <w:p w:rsidR="00000000" w:rsidRPr="00C61F8B" w:rsidP="00C61F8B">
      <w:pPr>
        <w:pStyle w:val="ListBullet2"/>
      </w:pPr>
      <w:r w:rsidRPr="00C61F8B">
        <w:t>intranasal</w:t>
      </w:r>
    </w:p>
    <w:p w:rsidR="00000000" w:rsidRPr="00C61F8B" w:rsidP="00C61F8B">
      <w:pPr>
        <w:pStyle w:val="ListBullet2"/>
      </w:pPr>
      <w:r w:rsidRPr="00C61F8B">
        <w:t>ocular</w:t>
      </w:r>
    </w:p>
    <w:p w:rsidR="00000000" w:rsidRPr="00C61F8B" w:rsidP="00C61F8B">
      <w:pPr>
        <w:pStyle w:val="ListBullet2"/>
      </w:pPr>
      <w:r w:rsidRPr="00C61F8B">
        <w:t>rectal</w:t>
      </w:r>
    </w:p>
    <w:p w:rsidR="00000000" w:rsidRPr="00C61F8B" w:rsidP="00C61F8B">
      <w:pPr>
        <w:pStyle w:val="ListBullet2"/>
      </w:pPr>
      <w:r w:rsidRPr="00C61F8B">
        <w:t>transdermal</w:t>
      </w:r>
    </w:p>
    <w:p w:rsidR="00000000" w:rsidRPr="00C61F8B" w:rsidP="00C61F8B">
      <w:pPr>
        <w:pStyle w:val="ListBullet2"/>
      </w:pPr>
      <w:r w:rsidRPr="00C61F8B">
        <w:t>vaginal</w:t>
      </w:r>
    </w:p>
    <w:p w:rsidR="00000000" w:rsidRPr="00C61F8B" w:rsidP="00C61F8B">
      <w:pPr>
        <w:pStyle w:val="ListBullet2"/>
      </w:pPr>
      <w:r w:rsidRPr="00C61F8B">
        <w:t>aural</w:t>
      </w:r>
    </w:p>
    <w:p w:rsidR="00000000" w:rsidRPr="00C61F8B" w:rsidP="00C61F8B">
      <w:pPr>
        <w:pStyle w:val="ListBullet"/>
      </w:pPr>
      <w:r w:rsidRPr="00C61F8B">
        <w:t>IV medicine administration methods:</w:t>
      </w:r>
    </w:p>
    <w:p w:rsidR="00000000" w:rsidRPr="00C61F8B" w:rsidP="00C61F8B">
      <w:pPr>
        <w:pStyle w:val="ListBullet2"/>
      </w:pPr>
      <w:r w:rsidRPr="00C61F8B">
        <w:t>push</w:t>
      </w:r>
    </w:p>
    <w:p w:rsidR="00000000" w:rsidRPr="00C61F8B" w:rsidP="00C61F8B">
      <w:pPr>
        <w:pStyle w:val="ListBullet2"/>
      </w:pPr>
      <w:r w:rsidRPr="00C61F8B">
        <w:t>bolus</w:t>
      </w:r>
    </w:p>
    <w:p w:rsidR="00000000" w:rsidRPr="00C61F8B" w:rsidP="00C61F8B">
      <w:pPr>
        <w:pStyle w:val="ListBullet2"/>
      </w:pPr>
      <w:r w:rsidRPr="00C61F8B">
        <w:t>gravity</w:t>
      </w:r>
    </w:p>
    <w:p w:rsidR="00000000" w:rsidRPr="00C61F8B" w:rsidP="00C61F8B">
      <w:pPr>
        <w:pStyle w:val="ListBullet2"/>
      </w:pPr>
      <w:r w:rsidRPr="00C61F8B">
        <w:t>electronic infusion pump</w:t>
      </w:r>
    </w:p>
    <w:p w:rsidR="00000000" w:rsidRPr="00C61F8B" w:rsidP="00C61F8B">
      <w:pPr>
        <w:pStyle w:val="ListBullet2"/>
      </w:pPr>
      <w:r w:rsidRPr="00C61F8B">
        <w:t>secondary line</w:t>
      </w:r>
    </w:p>
    <w:p w:rsidR="00000000" w:rsidRPr="00C61F8B" w:rsidP="00C61F8B">
      <w:pPr>
        <w:pStyle w:val="ListBullet2"/>
      </w:pPr>
      <w:r w:rsidRPr="00C61F8B">
        <w:t>syringe driver</w:t>
      </w:r>
    </w:p>
    <w:p w:rsidR="00000000" w:rsidRPr="00C61F8B" w:rsidP="00C61F8B">
      <w:pPr>
        <w:pStyle w:val="ListBullet2"/>
      </w:pPr>
      <w:r w:rsidRPr="00C61F8B">
        <w:t>subcutaneous</w:t>
      </w:r>
    </w:p>
    <w:p w:rsidR="00000000" w:rsidRPr="00C61F8B" w:rsidP="00C61F8B">
      <w:pPr>
        <w:pStyle w:val="ListBullet"/>
      </w:pPr>
      <w:r w:rsidRPr="00C61F8B">
        <w:t>intravascular access devices:</w:t>
      </w:r>
    </w:p>
    <w:p w:rsidR="00000000" w:rsidRPr="00C61F8B" w:rsidP="00C61F8B">
      <w:pPr>
        <w:pStyle w:val="ListBullet2"/>
      </w:pPr>
      <w:r w:rsidRPr="00C61F8B">
        <w:t>central venous catheter (CVC)</w:t>
      </w:r>
    </w:p>
    <w:p w:rsidR="00000000" w:rsidRPr="00C61F8B" w:rsidP="00C61F8B">
      <w:pPr>
        <w:pStyle w:val="ListBullet2"/>
      </w:pPr>
      <w:r w:rsidRPr="00C61F8B">
        <w:t>peripherally inserted central catheter (PICC)</w:t>
      </w:r>
    </w:p>
    <w:p w:rsidR="00000000" w:rsidRPr="00C61F8B" w:rsidP="00C61F8B">
      <w:pPr>
        <w:pStyle w:val="ListBullet2"/>
      </w:pPr>
      <w:r w:rsidRPr="00C61F8B">
        <w:t>vascath</w:t>
      </w:r>
    </w:p>
    <w:p w:rsidR="00000000" w:rsidRPr="00C61F8B" w:rsidP="00C61F8B">
      <w:pPr>
        <w:pStyle w:val="ListBullet2"/>
      </w:pPr>
      <w:r w:rsidRPr="00C61F8B">
        <w:t>implanted venous port</w:t>
      </w:r>
    </w:p>
    <w:p w:rsidR="00000000" w:rsidRPr="00C61F8B" w:rsidP="00C61F8B">
      <w:pPr>
        <w:pStyle w:val="ListBullet2"/>
      </w:pPr>
      <w:r w:rsidRPr="00C61F8B">
        <w:t>Hickman</w:t>
      </w:r>
    </w:p>
    <w:p w:rsidR="00000000" w:rsidRPr="00C61F8B" w:rsidP="00C61F8B">
      <w:pPr>
        <w:pStyle w:val="ListBullet"/>
      </w:pPr>
      <w:r w:rsidRPr="00C61F8B">
        <w:t>access devices:</w:t>
      </w:r>
    </w:p>
    <w:p w:rsidR="00000000" w:rsidRPr="00C61F8B" w:rsidP="00C61F8B">
      <w:pPr>
        <w:pStyle w:val="ListBullet2"/>
      </w:pPr>
      <w:r w:rsidRPr="00C61F8B">
        <w:t>peripheral</w:t>
      </w:r>
    </w:p>
    <w:p w:rsidR="00000000" w:rsidRPr="00C61F8B" w:rsidP="00C61F8B">
      <w:pPr>
        <w:pStyle w:val="ListBullet2"/>
      </w:pPr>
      <w:r w:rsidRPr="00C61F8B">
        <w:t>central</w:t>
      </w:r>
    </w:p>
    <w:p w:rsidR="00000000" w:rsidRPr="00C61F8B" w:rsidP="00C61F8B">
      <w:pPr>
        <w:pStyle w:val="ListBullet2"/>
      </w:pPr>
      <w:r w:rsidRPr="00C61F8B">
        <w:t>percutaneous</w:t>
      </w:r>
    </w:p>
    <w:p w:rsidR="00000000" w:rsidRPr="00C61F8B" w:rsidP="00C61F8B">
      <w:pPr>
        <w:pStyle w:val="ListBullet2"/>
      </w:pPr>
      <w:r w:rsidRPr="00C61F8B">
        <w:t>subcutaneous</w:t>
      </w:r>
    </w:p>
    <w:p w:rsidR="00000000" w:rsidRPr="00C61F8B" w:rsidP="00C61F8B">
      <w:pPr>
        <w:pStyle w:val="ListBullet"/>
      </w:pPr>
      <w:r w:rsidRPr="00C61F8B">
        <w:t>patient-controlled analg</w:t>
      </w:r>
      <w:r w:rsidRPr="00C61F8B">
        <w:t>esia (PCA)</w:t>
      </w:r>
    </w:p>
    <w:p w:rsidR="00000000" w:rsidRPr="00C61F8B" w:rsidP="00C61F8B">
      <w:pPr>
        <w:pStyle w:val="ListBullet"/>
      </w:pPr>
      <w:r w:rsidRPr="00C61F8B">
        <w:t>pharmacodynamic effects of medicine groups:</w:t>
      </w:r>
    </w:p>
    <w:tbl>
      <w:tblPr>
        <w:tblW w:w="0" w:type="auto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2700"/>
      </w:tblGrid>
      <w:tr w:rsidTr="00C61F8B">
        <w:tblPrEx>
          <w:tblW w:w="0" w:type="auto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F8B" w:rsidP="00C61F8B">
            <w:pPr>
              <w:pStyle w:val="BodyText"/>
            </w:pPr>
            <w:r w:rsidRPr="00C61F8B">
              <w:t>Anaesthetics</w:t>
            </w:r>
          </w:p>
          <w:p w:rsidR="00000000" w:rsidRPr="00C61F8B" w:rsidP="00C61F8B">
            <w:pPr>
              <w:pStyle w:val="BodyText"/>
            </w:pPr>
            <w:r w:rsidRPr="00C61F8B">
              <w:t>Analgesia</w:t>
            </w:r>
          </w:p>
          <w:p w:rsidR="00000000" w:rsidRPr="00C61F8B" w:rsidP="00C61F8B">
            <w:pPr>
              <w:pStyle w:val="BodyText"/>
            </w:pPr>
            <w:r w:rsidRPr="00C61F8B">
              <w:t>Antacids</w:t>
            </w:r>
          </w:p>
          <w:p w:rsidR="00000000" w:rsidRPr="00C61F8B" w:rsidP="00C61F8B">
            <w:pPr>
              <w:pStyle w:val="BodyText"/>
            </w:pPr>
            <w:r w:rsidRPr="00C61F8B">
              <w:t>Antianginals</w:t>
            </w:r>
          </w:p>
          <w:p w:rsidR="00000000" w:rsidRPr="00C61F8B" w:rsidP="00C61F8B">
            <w:pPr>
              <w:pStyle w:val="BodyText"/>
            </w:pPr>
            <w:r w:rsidRPr="00C61F8B">
              <w:t>Anxiolytics</w:t>
            </w:r>
          </w:p>
          <w:p w:rsidR="00000000" w:rsidRPr="00C61F8B" w:rsidP="00C61F8B">
            <w:pPr>
              <w:pStyle w:val="BodyText"/>
            </w:pPr>
            <w:r w:rsidRPr="00C61F8B">
              <w:t>Antiarrhythmics</w:t>
            </w:r>
          </w:p>
          <w:p w:rsidR="00000000" w:rsidRPr="00C61F8B" w:rsidP="00C61F8B">
            <w:pPr>
              <w:pStyle w:val="BodyText"/>
            </w:pPr>
            <w:r w:rsidRPr="00C61F8B">
              <w:t>Antibiotics</w:t>
            </w:r>
          </w:p>
          <w:p w:rsidR="00000000" w:rsidRPr="00C61F8B" w:rsidP="00C61F8B">
            <w:pPr>
              <w:pStyle w:val="BodyText"/>
            </w:pPr>
            <w:r w:rsidRPr="00C61F8B">
              <w:t>Anticholinergics</w:t>
            </w:r>
          </w:p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>Anticoagulants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F8B" w:rsidP="00C61F8B">
            <w:pPr>
              <w:pStyle w:val="BodyText"/>
            </w:pPr>
            <w:r w:rsidRPr="00C61F8B">
              <w:t>Anticonvulsants</w:t>
            </w:r>
          </w:p>
          <w:p w:rsidR="00000000" w:rsidRPr="00C61F8B" w:rsidP="00C61F8B">
            <w:pPr>
              <w:pStyle w:val="BodyText"/>
            </w:pPr>
            <w:r w:rsidRPr="00C61F8B">
              <w:t>Antidepressants</w:t>
            </w:r>
          </w:p>
          <w:p w:rsidR="00000000" w:rsidRPr="00C61F8B" w:rsidP="00C61F8B">
            <w:pPr>
              <w:pStyle w:val="BodyText"/>
            </w:pPr>
            <w:r w:rsidRPr="00C61F8B">
              <w:t>Antidiarrheals</w:t>
            </w:r>
          </w:p>
          <w:p w:rsidR="00000000" w:rsidRPr="00C61F8B" w:rsidP="00C61F8B">
            <w:pPr>
              <w:pStyle w:val="BodyText"/>
            </w:pPr>
            <w:r w:rsidRPr="00C61F8B">
              <w:t>Antiemetics</w:t>
            </w:r>
          </w:p>
          <w:p w:rsidR="00000000" w:rsidRPr="00C61F8B" w:rsidP="00C61F8B">
            <w:pPr>
              <w:pStyle w:val="BodyText"/>
            </w:pPr>
            <w:r w:rsidRPr="00C61F8B">
              <w:t>Antifungals</w:t>
            </w:r>
          </w:p>
          <w:p w:rsidR="00000000" w:rsidRPr="00C61F8B" w:rsidP="00C61F8B">
            <w:pPr>
              <w:pStyle w:val="BodyText"/>
            </w:pPr>
            <w:r w:rsidRPr="00C61F8B">
              <w:t>Antihistamines</w:t>
            </w:r>
          </w:p>
          <w:p w:rsidR="00000000" w:rsidRPr="00C61F8B" w:rsidP="00C61F8B">
            <w:pPr>
              <w:pStyle w:val="BodyText"/>
            </w:pPr>
            <w:r w:rsidRPr="00C61F8B">
              <w:t>Antihypertensives</w:t>
            </w:r>
          </w:p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>Anti-inflammatory</w:t>
            </w:r>
          </w:p>
        </w:tc>
      </w:tr>
      <w:tr w:rsidTr="00C61F8B">
        <w:tblPrEx>
          <w:tblW w:w="0" w:type="auto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F8B" w:rsidP="00C61F8B">
            <w:pPr>
              <w:pStyle w:val="BodyText"/>
            </w:pPr>
            <w:r w:rsidRPr="00C61F8B">
              <w:t>Antineoplastics</w:t>
            </w:r>
          </w:p>
          <w:p w:rsidR="00000000" w:rsidRPr="00C61F8B" w:rsidP="00C61F8B">
            <w:pPr>
              <w:pStyle w:val="BodyText"/>
            </w:pPr>
            <w:r w:rsidRPr="00C61F8B">
              <w:t>Antiparkinsonian</w:t>
            </w:r>
          </w:p>
          <w:p w:rsidR="00000000" w:rsidRPr="00C61F8B" w:rsidP="00C61F8B">
            <w:pPr>
              <w:pStyle w:val="BodyText"/>
            </w:pPr>
            <w:r w:rsidRPr="00C61F8B">
              <w:t>Antipruritic</w:t>
            </w:r>
          </w:p>
          <w:p w:rsidR="00000000" w:rsidRPr="00C61F8B" w:rsidP="00C61F8B">
            <w:pPr>
              <w:pStyle w:val="BodyText"/>
            </w:pPr>
            <w:r w:rsidRPr="00C61F8B">
              <w:t>Antipsychotics</w:t>
            </w:r>
          </w:p>
          <w:p w:rsidR="00000000" w:rsidRPr="00C61F8B" w:rsidP="00C61F8B">
            <w:pPr>
              <w:pStyle w:val="BodyText"/>
            </w:pPr>
            <w:r w:rsidRPr="00C61F8B">
              <w:t>Antiseptics</w:t>
            </w:r>
          </w:p>
          <w:p w:rsidR="00000000" w:rsidRPr="00C61F8B" w:rsidP="00C61F8B">
            <w:pPr>
              <w:pStyle w:val="BodyText"/>
            </w:pPr>
            <w:r w:rsidRPr="00C61F8B">
              <w:t>Antiulcer</w:t>
            </w:r>
          </w:p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>Antivirals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F8B" w:rsidP="00C61F8B">
            <w:pPr>
              <w:pStyle w:val="BodyText"/>
            </w:pPr>
            <w:r w:rsidRPr="00C61F8B">
              <w:t>Hormones</w:t>
            </w:r>
          </w:p>
          <w:p w:rsidR="00000000" w:rsidRPr="00C61F8B" w:rsidP="00C61F8B">
            <w:pPr>
              <w:pStyle w:val="BodyText"/>
            </w:pPr>
            <w:r w:rsidRPr="00C61F8B">
              <w:t>Hypnotics, sedatives</w:t>
            </w:r>
          </w:p>
          <w:p w:rsidR="00000000" w:rsidRPr="00C61F8B" w:rsidP="00C61F8B">
            <w:pPr>
              <w:pStyle w:val="BodyText"/>
            </w:pPr>
            <w:r w:rsidRPr="00C61F8B">
              <w:t>Hypoglycaemics</w:t>
            </w:r>
          </w:p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>Insulin</w:t>
            </w:r>
          </w:p>
        </w:tc>
      </w:tr>
      <w:tr w:rsidTr="00C61F8B">
        <w:tblPrEx>
          <w:tblW w:w="0" w:type="auto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1F8B" w:rsidP="00C61F8B">
            <w:pPr>
              <w:pStyle w:val="BodyText"/>
            </w:pPr>
            <w:r w:rsidRPr="00C61F8B">
              <w:t>Beta-blockers</w:t>
            </w:r>
          </w:p>
          <w:p w:rsidR="00000000" w:rsidRPr="00C61F8B" w:rsidP="00C61F8B">
            <w:pPr>
              <w:pStyle w:val="BodyText"/>
            </w:pPr>
            <w:r w:rsidRPr="00C61F8B">
              <w:t>Benzodiazepines</w:t>
            </w:r>
          </w:p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>Bronchodilators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>Electrolyt</w:t>
            </w:r>
            <w:r w:rsidRPr="00C61F8B">
              <w:t>e solutions</w:t>
            </w:r>
          </w:p>
        </w:tc>
      </w:tr>
      <w:tr w:rsidTr="00C61F8B">
        <w:tblPrEx>
          <w:tblW w:w="0" w:type="auto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>Laxatives/aperients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F8B" w:rsidP="00C61F8B">
            <w:pPr>
              <w:pStyle w:val="BodyText"/>
            </w:pPr>
            <w:r w:rsidRPr="00C61F8B">
              <w:t>Ophthalmic, otic</w:t>
            </w:r>
          </w:p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>Nasal medicine – nasopharyngeal medicine</w:t>
            </w:r>
          </w:p>
        </w:tc>
      </w:tr>
      <w:tr w:rsidTr="00C61F8B">
        <w:tblPrEx>
          <w:tblW w:w="0" w:type="auto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F8B" w:rsidP="00C61F8B">
            <w:pPr>
              <w:pStyle w:val="BodyText"/>
            </w:pPr>
            <w:r w:rsidRPr="00C61F8B">
              <w:t>Contraceptives</w:t>
            </w:r>
          </w:p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>Corticosteroids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>Diuretics</w:t>
            </w:r>
          </w:p>
        </w:tc>
      </w:tr>
      <w:tr w:rsidTr="00C61F8B">
        <w:tblPrEx>
          <w:tblW w:w="0" w:type="auto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F8B">
            <w:pPr>
              <w:pStyle w:val="BodyText"/>
              <w:rPr>
                <w:lang w:val="en-NZ"/>
              </w:rPr>
            </w:pPr>
            <w:r w:rsidRPr="00C61F8B">
              <w:t xml:space="preserve">Including narcotic analgesia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F8B" w:rsidP="00C61F8B">
            <w:pPr>
              <w:pStyle w:val="BodyText"/>
            </w:pPr>
            <w:r w:rsidRPr="00C61F8B">
              <w:t>Vitamins</w:t>
            </w:r>
          </w:p>
        </w:tc>
      </w:tr>
    </w:tbl>
    <w:p w:rsidR="00000000" w:rsidRPr="00C61F8B" w:rsidP="00C61F8B">
      <w:pPr>
        <w:pStyle w:val="ListBullet"/>
      </w:pPr>
      <w:r w:rsidRPr="00C61F8B">
        <w:t>techniques for calculating medicine dosages:</w:t>
      </w:r>
    </w:p>
    <w:p w:rsidR="00000000" w:rsidRPr="00C61F8B" w:rsidP="00C61F8B">
      <w:pPr>
        <w:pStyle w:val="ListBullet2"/>
      </w:pPr>
      <w:r w:rsidRPr="00C61F8B">
        <w:t>calculation formulae</w:t>
      </w:r>
    </w:p>
    <w:p w:rsidR="00000000" w:rsidRPr="00C61F8B" w:rsidP="00C61F8B">
      <w:pPr>
        <w:pStyle w:val="ListBullet2"/>
      </w:pPr>
      <w:r w:rsidRPr="00C61F8B">
        <w:t>ACSQHC tall man lettering</w:t>
      </w:r>
    </w:p>
    <w:p w:rsidR="00000000" w:rsidRPr="00C61F8B" w:rsidP="00C61F8B">
      <w:pPr>
        <w:pStyle w:val="ListBullet2"/>
      </w:pPr>
      <w:r w:rsidRPr="00C61F8B">
        <w:t>commonly used dose measurement:</w:t>
      </w:r>
    </w:p>
    <w:p w:rsidR="00000000" w:rsidRPr="00C61F8B" w:rsidP="00C61F8B">
      <w:pPr>
        <w:pStyle w:val="ListBullet3"/>
      </w:pPr>
      <w:r w:rsidRPr="00C61F8B">
        <w:t>microgram (microg, MICROg)</w:t>
      </w:r>
    </w:p>
    <w:p w:rsidR="00000000" w:rsidRPr="00C61F8B" w:rsidP="00C61F8B">
      <w:pPr>
        <w:pStyle w:val="ListBullet3"/>
      </w:pPr>
      <w:r w:rsidRPr="00C61F8B">
        <w:t>milligram (mg)</w:t>
      </w:r>
    </w:p>
    <w:p w:rsidR="00000000" w:rsidRPr="00C61F8B" w:rsidP="00C61F8B">
      <w:pPr>
        <w:pStyle w:val="ListBullet3"/>
      </w:pPr>
      <w:r w:rsidRPr="00C61F8B">
        <w:t>gram (g)</w:t>
      </w:r>
    </w:p>
    <w:p w:rsidR="00000000" w:rsidRPr="00C61F8B" w:rsidP="00C61F8B">
      <w:pPr>
        <w:pStyle w:val="ListBullet3"/>
      </w:pPr>
      <w:r w:rsidRPr="00C61F8B">
        <w:t>millilitre (mL)</w:t>
      </w:r>
    </w:p>
    <w:p w:rsidR="00000000" w:rsidRPr="00C61F8B" w:rsidP="00C61F8B">
      <w:pPr>
        <w:pStyle w:val="ListBullet3"/>
      </w:pPr>
      <w:r w:rsidRPr="00C61F8B">
        <w:t>litre (L)</w:t>
      </w:r>
    </w:p>
    <w:p w:rsidR="00000000" w:rsidRPr="00C61F8B" w:rsidP="00C61F8B">
      <w:pPr>
        <w:pStyle w:val="ListBullet3"/>
      </w:pPr>
      <w:r w:rsidRPr="00C61F8B">
        <w:t>millimole (mmol)</w:t>
      </w:r>
    </w:p>
    <w:p w:rsidR="00000000" w:rsidRPr="00C61F8B" w:rsidP="00C61F8B">
      <w:pPr>
        <w:pStyle w:val="ListBullet2"/>
      </w:pPr>
      <w:r w:rsidRPr="00C61F8B">
        <w:t>calculation of dosages of injectable drugs including liquid and solid unit dosages</w:t>
      </w:r>
    </w:p>
    <w:p w:rsidR="00000000" w:rsidRPr="00C61F8B" w:rsidP="00C61F8B">
      <w:pPr>
        <w:pStyle w:val="ListBullet2"/>
      </w:pPr>
      <w:r w:rsidRPr="00C61F8B">
        <w:t>flow rate:</w:t>
      </w:r>
    </w:p>
    <w:p w:rsidR="00000000" w:rsidRPr="00C61F8B" w:rsidP="00C61F8B">
      <w:pPr>
        <w:pStyle w:val="ListBullet3"/>
      </w:pPr>
      <w:r w:rsidRPr="00C61F8B">
        <w:t>drops per minute</w:t>
      </w:r>
    </w:p>
    <w:p w:rsidR="00000000" w:rsidRPr="00C61F8B" w:rsidP="00C61F8B">
      <w:pPr>
        <w:pStyle w:val="ListBullet3"/>
      </w:pPr>
      <w:r w:rsidRPr="00C61F8B">
        <w:t>millilitres per hour</w:t>
      </w:r>
    </w:p>
    <w:p w:rsidR="00000000" w:rsidRPr="00C61F8B" w:rsidP="00C61F8B">
      <w:pPr>
        <w:pStyle w:val="ListBullet2"/>
      </w:pPr>
      <w:r w:rsidRPr="00C61F8B">
        <w:t>paediatric dosage calculations including body weight, surface area and age-related dose reduction</w:t>
      </w:r>
    </w:p>
    <w:p w:rsidR="00000000" w:rsidRPr="00C61F8B" w:rsidP="00C61F8B">
      <w:pPr>
        <w:pStyle w:val="ListBullet2"/>
      </w:pPr>
      <w:r w:rsidRPr="00C61F8B">
        <w:t>geriatric dosage calculations including body weight, surface area and age</w:t>
      </w:r>
    </w:p>
    <w:p w:rsidR="00000000" w:rsidRPr="00C61F8B" w:rsidP="00C61F8B">
      <w:pPr>
        <w:pStyle w:val="ListBullet2"/>
      </w:pPr>
      <w:r w:rsidRPr="00C61F8B">
        <w:t>dose administration aids (DAAs) where dose is</w:t>
      </w:r>
      <w:r w:rsidRPr="00C61F8B">
        <w:t xml:space="preserve"> already calculated</w:t>
      </w:r>
    </w:p>
    <w:p w:rsidR="00000000" w:rsidRPr="00C61F8B" w:rsidP="00C61F8B">
      <w:pPr>
        <w:pStyle w:val="ListBullet"/>
      </w:pPr>
      <w:r w:rsidRPr="00C61F8B">
        <w:t>organisational policies and procedures for addressing medicine errors</w:t>
      </w:r>
    </w:p>
    <w:p w:rsidR="00000000" w:rsidRPr="00C61F8B" w:rsidP="00C61F8B">
      <w:pPr>
        <w:pStyle w:val="ListBullet"/>
      </w:pPr>
      <w:r w:rsidRPr="00C61F8B">
        <w:t>drugs commonly used for fluid and electrolyte imbalance:</w:t>
      </w:r>
    </w:p>
    <w:p w:rsidR="00000000" w:rsidRPr="00C61F8B" w:rsidP="00C61F8B">
      <w:pPr>
        <w:pStyle w:val="ListBullet2"/>
      </w:pPr>
      <w:r w:rsidRPr="00C61F8B">
        <w:t>alkalisers</w:t>
      </w:r>
    </w:p>
    <w:p w:rsidR="00000000" w:rsidRPr="00C61F8B" w:rsidP="00C61F8B">
      <w:pPr>
        <w:pStyle w:val="ListBullet2"/>
      </w:pPr>
      <w:r w:rsidRPr="00C61F8B">
        <w:t>diuretics</w:t>
      </w:r>
    </w:p>
    <w:p w:rsidR="00000000" w:rsidRPr="00C61F8B" w:rsidP="00C61F8B">
      <w:pPr>
        <w:pStyle w:val="ListBullet2"/>
      </w:pPr>
      <w:r w:rsidRPr="00C61F8B">
        <w:t>electrolytes</w:t>
      </w:r>
    </w:p>
    <w:p w:rsidR="00000000" w:rsidRPr="00C61F8B" w:rsidP="00C61F8B">
      <w:pPr>
        <w:pStyle w:val="ListBullet2"/>
      </w:pPr>
      <w:r w:rsidRPr="00C61F8B">
        <w:t>replacement solution.</w:t>
      </w:r>
    </w:p>
    <w:p w:rsidR="00000000" w:rsidRPr="00C61F8B" w:rsidP="00C61F8B">
      <w:pPr>
        <w:pStyle w:val="AllowPageBreak"/>
      </w:pPr>
    </w:p>
    <w:p w:rsidR="00000000" w:rsidRPr="00C61F8B" w:rsidP="00C61F8B">
      <w:pPr>
        <w:pStyle w:val="Heading1"/>
      </w:pPr>
      <w:bookmarkStart w:id="4" w:name="O_1200390"/>
      <w:bookmarkEnd w:id="4"/>
      <w:r w:rsidRPr="00C61F8B">
        <w:t>Assessment Conditions</w:t>
      </w:r>
    </w:p>
    <w:p w:rsidR="00000000" w:rsidRPr="00C61F8B" w:rsidP="001B722B">
      <w:pPr>
        <w:pStyle w:val="BodyText"/>
      </w:pPr>
      <w:r w:rsidRPr="00C61F8B">
        <w:t>To be eligible to apply for registration as an enrolled nurse and to practice in Australia, each applicant must complete a Diploma of Nursing program accredited by the Australian Nursing and Midwifery Accreditation Council (ANMAC) and approved as ‘an appro</w:t>
      </w:r>
      <w:r w:rsidRPr="00C61F8B">
        <w:t xml:space="preserve">ved program of study’ by the Nursing and Midwifery Board of Australia (NMBA) in accordance with the Enrolled Nurse Accreditation Standards. </w:t>
      </w:r>
    </w:p>
    <w:p w:rsidR="00000000" w:rsidRPr="00C61F8B" w:rsidP="001B722B">
      <w:pPr>
        <w:pStyle w:val="BodyText"/>
      </w:pPr>
      <w:r w:rsidRPr="00C61F8B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E15447">
        <w:rPr>
          <w:rStyle w:val="Hyperlink"/>
        </w:rPr>
        <w:t>https://www.ahpra.gov.au</w:t>
      </w:r>
      <w:r>
        <w:fldChar w:fldCharType="end"/>
      </w:r>
      <w:r w:rsidRPr="00C61F8B">
        <w:t xml:space="preserve">.  </w:t>
      </w:r>
    </w:p>
    <w:p w:rsidR="00000000" w:rsidRPr="00C61F8B" w:rsidP="001B722B">
      <w:pPr>
        <w:pStyle w:val="BodyText"/>
      </w:pPr>
      <w:r w:rsidRPr="00C61F8B">
        <w:t>Skills must be demonstrated in the workplace or in a simulated en</w:t>
      </w:r>
      <w:r w:rsidRPr="00C61F8B">
        <w:t>vironment as specified in the performance evidence that model industry operating conditions including access to real people for simulations and scenarios in enrolled nursing work.</w:t>
      </w:r>
    </w:p>
    <w:p w:rsidR="00000000" w:rsidRPr="00C61F8B" w:rsidP="001B722B">
      <w:pPr>
        <w:pStyle w:val="BodyText"/>
      </w:pPr>
      <w:r w:rsidRPr="00C61F8B">
        <w:t xml:space="preserve">Assessors must satisfy the Standards for Registered Training Organisations’ </w:t>
      </w:r>
      <w:r w:rsidRPr="00C61F8B">
        <w:t>requirements for assessors.</w:t>
      </w:r>
    </w:p>
    <w:p w:rsidR="00000000" w:rsidRPr="00C61F8B" w:rsidP="001B722B">
      <w:pPr>
        <w:pStyle w:val="BodyText"/>
      </w:pPr>
      <w:r w:rsidRPr="00C61F8B">
        <w:t>Assessors must also hold current registration as a registered nurse with the Nursing and Midwifery Board of Australia (NMBA).</w:t>
      </w:r>
    </w:p>
    <w:p w:rsidR="00000000" w:rsidRPr="00C61F8B" w:rsidP="00C61F8B">
      <w:pPr>
        <w:pStyle w:val="Heading1"/>
      </w:pPr>
      <w:bookmarkStart w:id="5" w:name="O_1200404"/>
      <w:bookmarkEnd w:id="5"/>
      <w:r w:rsidRPr="00C61F8B">
        <w:t>Links</w:t>
      </w:r>
    </w:p>
    <w:p w:rsidR="00000000" w:rsidRPr="00C61F8B" w:rsidP="001B722B">
      <w:pPr>
        <w:pStyle w:val="BodyText"/>
      </w:pPr>
      <w:r w:rsidRPr="00C61F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1544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61F8B" w:rsidP="00C61F8B"/>
    <w:sectPr w:rsidSect="00C61F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8B" w:rsidRPr="001B722B" w:rsidP="001B7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22B" w:rsidP="00C61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22B" w:rsidP="00C61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B722B" w:rsidP="00C61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2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F8B" w:rsidRPr="001B722B" w:rsidP="001B72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22B" w:rsidRPr="002D2AF8" w:rsidP="00C61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HLTENN040 Administer and monitor medicines and intravenous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B722B" w:rsidP="00C61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C6CE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DCC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AAFB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F8B"/>
  </w:style>
  <w:style w:type="character" w:customStyle="1" w:styleId="Heading1Char">
    <w:name w:val="Heading 1 Char"/>
    <w:basedOn w:val="DefaultParagraphFont"/>
    <w:link w:val="Heading1"/>
    <w:rsid w:val="00C61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F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F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F8B"/>
    <w:rPr>
      <w:b/>
      <w:spacing w:val="0"/>
    </w:rPr>
  </w:style>
  <w:style w:type="paragraph" w:styleId="ListBullet2">
    <w:name w:val="List Bullet 2"/>
    <w:basedOn w:val="List2"/>
    <w:rsid w:val="00C61F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1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1F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1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F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F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1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F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F8B"/>
    <w:rPr>
      <w:i/>
    </w:rPr>
  </w:style>
  <w:style w:type="paragraph" w:styleId="Caption">
    <w:name w:val="caption"/>
    <w:basedOn w:val="BodyText"/>
    <w:next w:val="Normal"/>
    <w:qFormat/>
    <w:rsid w:val="00C61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F8B"/>
  </w:style>
  <w:style w:type="paragraph" w:styleId="TableofFigures">
    <w:name w:val="table of figures"/>
    <w:basedOn w:val="Normal"/>
    <w:next w:val="Normal"/>
    <w:semiHidden/>
    <w:rsid w:val="00C61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F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61F8B"/>
    <w:rPr>
      <w:rFonts w:ascii="Wingdings" w:hAnsi="Wingdings"/>
    </w:rPr>
  </w:style>
  <w:style w:type="paragraph" w:customStyle="1" w:styleId="TableHeading">
    <w:name w:val="Table Heading"/>
    <w:basedOn w:val="HeadingBase"/>
    <w:rsid w:val="00C61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F8B"/>
    <w:rPr>
      <w:color w:val="0033CC"/>
      <w:u w:val="none"/>
    </w:rPr>
  </w:style>
  <w:style w:type="paragraph" w:customStyle="1" w:styleId="BodyTextRight">
    <w:name w:val="Body Text Right"/>
    <w:basedOn w:val="BodyText"/>
    <w:rsid w:val="00C61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F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F8B"/>
    <w:rPr>
      <w:sz w:val="32"/>
    </w:rPr>
  </w:style>
  <w:style w:type="paragraph" w:customStyle="1" w:styleId="HeadingProcedure">
    <w:name w:val="Heading Procedure"/>
    <w:basedOn w:val="HeadingBase"/>
    <w:next w:val="Normal"/>
    <w:rsid w:val="00C61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F8B"/>
    <w:pPr>
      <w:spacing w:before="60" w:after="60"/>
    </w:pPr>
  </w:style>
  <w:style w:type="paragraph" w:styleId="ListContinue">
    <w:name w:val="List Continue"/>
    <w:basedOn w:val="List"/>
    <w:rsid w:val="00C61F8B"/>
    <w:pPr>
      <w:ind w:firstLine="0"/>
    </w:pPr>
  </w:style>
  <w:style w:type="paragraph" w:customStyle="1" w:styleId="ListNote">
    <w:name w:val="List Note"/>
    <w:basedOn w:val="List"/>
    <w:rsid w:val="00C61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F8B"/>
    <w:rPr>
      <w:rFonts w:ascii="Courier New" w:hAnsi="Courier New"/>
    </w:rPr>
  </w:style>
  <w:style w:type="paragraph" w:customStyle="1" w:styleId="NoteBullet">
    <w:name w:val="Note Bullet"/>
    <w:basedOn w:val="Note"/>
    <w:rsid w:val="00C61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F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1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F8B"/>
    <w:rPr>
      <w:b/>
      <w:smallCaps/>
    </w:rPr>
  </w:style>
  <w:style w:type="paragraph" w:customStyle="1" w:styleId="TableListNumber">
    <w:name w:val="Table List Number"/>
    <w:basedOn w:val="ListNumber"/>
    <w:rsid w:val="00C61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F8B"/>
    <w:pPr>
      <w:numPr>
        <w:numId w:val="10"/>
      </w:numPr>
    </w:pPr>
  </w:style>
  <w:style w:type="paragraph" w:customStyle="1" w:styleId="ListAlpha2">
    <w:name w:val="List Alpha 2"/>
    <w:basedOn w:val="List2"/>
    <w:rsid w:val="00C61F8B"/>
    <w:pPr>
      <w:numPr>
        <w:numId w:val="9"/>
      </w:numPr>
    </w:pPr>
  </w:style>
  <w:style w:type="paragraph" w:styleId="List2">
    <w:name w:val="List 2"/>
    <w:basedOn w:val="BodyText"/>
    <w:rsid w:val="00C61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F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1F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61F8B"/>
    <w:pPr>
      <w:numPr>
        <w:numId w:val="5"/>
      </w:numPr>
    </w:pPr>
  </w:style>
  <w:style w:type="paragraph" w:styleId="ListContinue2">
    <w:name w:val="List Continue 2"/>
    <w:basedOn w:val="List2"/>
    <w:rsid w:val="00C61F8B"/>
    <w:pPr>
      <w:ind w:firstLine="0"/>
    </w:pPr>
  </w:style>
  <w:style w:type="paragraph" w:styleId="ListContinue3">
    <w:name w:val="List Continue 3"/>
    <w:basedOn w:val="List3"/>
    <w:rsid w:val="00C61F8B"/>
    <w:pPr>
      <w:ind w:left="1021" w:firstLine="0"/>
    </w:pPr>
  </w:style>
  <w:style w:type="paragraph" w:styleId="ListContinue4">
    <w:name w:val="List Continue 4"/>
    <w:basedOn w:val="List4"/>
    <w:rsid w:val="00C61F8B"/>
    <w:pPr>
      <w:ind w:firstLine="0"/>
    </w:pPr>
  </w:style>
  <w:style w:type="paragraph" w:styleId="ListContinue5">
    <w:name w:val="List Continue 5"/>
    <w:basedOn w:val="List5"/>
    <w:rsid w:val="00C61F8B"/>
    <w:pPr>
      <w:ind w:firstLine="0"/>
    </w:pPr>
  </w:style>
  <w:style w:type="paragraph" w:styleId="ListNumber3">
    <w:name w:val="List Number 3"/>
    <w:basedOn w:val="List3"/>
    <w:rsid w:val="00C61F8B"/>
    <w:pPr>
      <w:numPr>
        <w:numId w:val="6"/>
      </w:numPr>
    </w:pPr>
  </w:style>
  <w:style w:type="paragraph" w:styleId="ListNumber4">
    <w:name w:val="List Number 4"/>
    <w:basedOn w:val="List4"/>
    <w:rsid w:val="00C61F8B"/>
    <w:pPr>
      <w:numPr>
        <w:numId w:val="7"/>
      </w:numPr>
    </w:pPr>
  </w:style>
  <w:style w:type="paragraph" w:styleId="ListNumber5">
    <w:name w:val="List Number 5"/>
    <w:basedOn w:val="List5"/>
    <w:rsid w:val="00C61F8B"/>
    <w:pPr>
      <w:numPr>
        <w:numId w:val="8"/>
      </w:numPr>
    </w:pPr>
  </w:style>
  <w:style w:type="paragraph" w:styleId="BlockText">
    <w:name w:val="Block Text"/>
    <w:basedOn w:val="Normal"/>
    <w:rsid w:val="00C61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F8B"/>
    <w:rPr>
      <w:sz w:val="16"/>
      <w:vertAlign w:val="superscript"/>
    </w:rPr>
  </w:style>
  <w:style w:type="character" w:customStyle="1" w:styleId="Symbols">
    <w:name w:val="Symbols"/>
    <w:basedOn w:val="DefaultParagraphFont"/>
    <w:rsid w:val="00C61F8B"/>
    <w:rPr>
      <w:rFonts w:ascii="Symbol" w:hAnsi="Symbol"/>
    </w:rPr>
  </w:style>
  <w:style w:type="character" w:customStyle="1" w:styleId="MenuOptions">
    <w:name w:val="Menu Options"/>
    <w:basedOn w:val="DefaultParagraphFont"/>
    <w:rsid w:val="00C61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F8B"/>
    <w:rPr>
      <w:b/>
    </w:rPr>
  </w:style>
  <w:style w:type="character" w:customStyle="1" w:styleId="Underlined">
    <w:name w:val="Underlined"/>
    <w:basedOn w:val="DefaultParagraphFont"/>
    <w:rsid w:val="00C61F8B"/>
    <w:rPr>
      <w:u w:val="single"/>
    </w:rPr>
  </w:style>
  <w:style w:type="paragraph" w:customStyle="1" w:styleId="TableBodyTextRight">
    <w:name w:val="Table Body Text Right"/>
    <w:basedOn w:val="TableBodyText"/>
    <w:rsid w:val="00C61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F8B"/>
    <w:rPr>
      <w:sz w:val="18"/>
    </w:rPr>
  </w:style>
  <w:style w:type="paragraph" w:customStyle="1" w:styleId="BodySmallRight">
    <w:name w:val="Body Small Right"/>
    <w:basedOn w:val="BodyTextRight"/>
    <w:rsid w:val="00C61F8B"/>
    <w:rPr>
      <w:sz w:val="18"/>
      <w:szCs w:val="18"/>
    </w:rPr>
  </w:style>
  <w:style w:type="paragraph" w:customStyle="1" w:styleId="MarginEdition">
    <w:name w:val="Margin Edition"/>
    <w:basedOn w:val="MarginNote"/>
    <w:rsid w:val="00C61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F8B"/>
    <w:rPr>
      <w:sz w:val="2"/>
      <w:szCs w:val="2"/>
    </w:rPr>
  </w:style>
  <w:style w:type="character" w:customStyle="1" w:styleId="Small">
    <w:name w:val="Small"/>
    <w:basedOn w:val="DefaultParagraphFont"/>
    <w:rsid w:val="00C61F8B"/>
    <w:rPr>
      <w:sz w:val="16"/>
    </w:rPr>
  </w:style>
  <w:style w:type="paragraph" w:customStyle="1" w:styleId="WideTable">
    <w:name w:val="Wide Table"/>
    <w:basedOn w:val="Normal"/>
    <w:rsid w:val="00C61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F8B"/>
  </w:style>
  <w:style w:type="paragraph" w:styleId="Quote">
    <w:name w:val="Quote"/>
    <w:basedOn w:val="Heading1"/>
    <w:link w:val="QuoteChar"/>
    <w:qFormat/>
    <w:rsid w:val="00C61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F8B"/>
    <w:pPr>
      <w:pageBreakBefore/>
    </w:pPr>
  </w:style>
  <w:style w:type="paragraph" w:customStyle="1" w:styleId="Border">
    <w:name w:val="Border"/>
    <w:basedOn w:val="Normal"/>
    <w:qFormat/>
    <w:rsid w:val="00C61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F8B"/>
    <w:rPr>
      <w:u w:val="single"/>
    </w:rPr>
  </w:style>
  <w:style w:type="character" w:customStyle="1" w:styleId="BoldandItalics">
    <w:name w:val="Bold and Italics"/>
    <w:qFormat/>
    <w:rsid w:val="00C61F8B"/>
    <w:rPr>
      <w:b/>
      <w:i/>
      <w:u w:val="none"/>
    </w:rPr>
  </w:style>
  <w:style w:type="paragraph" w:styleId="BalloonText">
    <w:name w:val="Balloon Text"/>
    <w:basedOn w:val="Normal"/>
    <w:link w:val="BalloonTextChar"/>
    <w:rsid w:val="00C61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F8B"/>
    <w:pPr>
      <w:spacing w:before="0" w:after="0"/>
    </w:pPr>
  </w:style>
  <w:style w:type="paragraph" w:customStyle="1" w:styleId="BodyTextBold">
    <w:name w:val="Body Text Bold"/>
    <w:basedOn w:val="BodyText"/>
    <w:qFormat/>
    <w:rsid w:val="00C61F8B"/>
    <w:rPr>
      <w:b/>
    </w:rPr>
  </w:style>
  <w:style w:type="character" w:styleId="Hyperlink">
    <w:name w:val="Hyperlink"/>
    <w:basedOn w:val="DefaultParagraphFont"/>
    <w:uiPriority w:val="99"/>
    <w:unhideWhenUsed/>
    <w:rsid w:val="001B72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5275</Characters>
  <Application>Microsoft Office Word</Application>
  <DocSecurity>0</DocSecurity>
  <Lines>202</Lines>
  <Paragraphs>182</Paragraphs>
  <ScaleCrop>false</ScaleCrop>
  <Company>Author-it Software Corporation Ltd.</Company>
  <LinksUpToDate>false</LinksUpToDate>
  <CharactersWithSpaces>5830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HLTENN040 Administer and monitor medicines and intravenous therapy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2023-07-02T02:42:00Z</dcterms:created>
  <dcterms:modified xsi:type="dcterms:W3CDTF">2023-07-02T02:42:00Z</dcterms:modified>
</cp:coreProperties>
</file>