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C44" w:rsidP="00761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HLTENN039 Apply principles of wound management</w:t>
      </w:r>
      <w:r>
        <w:fldChar w:fldCharType="end"/>
      </w:r>
    </w:p>
    <w:p w:rsidR="00761C44" w:rsidP="00761C44">
      <w:pPr>
        <w:pStyle w:val="Version"/>
        <w:sectPr w:rsidSect="00EB7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B7EC7" w:rsidP="00EB7EC7">
      <w:pPr>
        <w:pStyle w:val="SuperHeading"/>
      </w:pPr>
      <w:r w:rsidRPr="00EB7EC7">
        <w:t>Assessment Requirements for HLTENN039 Apply principles of wound management</w:t>
      </w:r>
    </w:p>
    <w:p w:rsidR="00000000" w:rsidRPr="00EB7EC7" w:rsidP="00EB7EC7">
      <w:pPr>
        <w:pStyle w:val="Heading1"/>
      </w:pPr>
      <w:bookmarkStart w:id="1" w:name="O_1214113"/>
      <w:bookmarkEnd w:id="1"/>
      <w:r w:rsidRPr="00EB7E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04"/>
      </w:tblGrid>
      <w:tr w:rsidTr="00EB7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7EC7" w:rsidP="00EB7EC7">
            <w:pPr>
              <w:pStyle w:val="BodyText"/>
            </w:pPr>
            <w:r w:rsidRPr="00EB7EC7">
              <w:rPr>
                <w:rStyle w:val="SpecialBold"/>
              </w:rPr>
              <w:t>Release</w:t>
            </w:r>
          </w:p>
        </w:tc>
        <w:tc>
          <w:tcPr>
            <w:tcW w:w="7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7EC7">
            <w:pPr>
              <w:pStyle w:val="BodyText"/>
              <w:rPr>
                <w:lang w:val="en-NZ"/>
              </w:rPr>
            </w:pPr>
            <w:r w:rsidRPr="00EB7EC7">
              <w:rPr>
                <w:rStyle w:val="SpecialBold"/>
              </w:rPr>
              <w:t>Comments</w:t>
            </w:r>
          </w:p>
        </w:tc>
      </w:tr>
      <w:tr w:rsidTr="00EB7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5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EC7">
            <w:pPr>
              <w:pStyle w:val="BodyText"/>
              <w:rPr>
                <w:lang w:val="en-NZ"/>
              </w:rPr>
            </w:pPr>
            <w:r w:rsidRPr="00EB7EC7">
              <w:t>Release 3</w:t>
            </w:r>
          </w:p>
        </w:tc>
        <w:tc>
          <w:tcPr>
            <w:tcW w:w="7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EC7" w:rsidP="00EB7EC7">
            <w:pPr>
              <w:pStyle w:val="BodyText"/>
            </w:pPr>
            <w:r w:rsidRPr="00EB7EC7">
              <w:t xml:space="preserve">Supersedes and is equivalent to Release 2 HLTENN039 Apply principles of wound management. </w:t>
            </w:r>
          </w:p>
          <w:p w:rsidR="00000000" w:rsidP="00EB7EC7">
            <w:pPr>
              <w:pStyle w:val="BodyText"/>
              <w:rPr>
                <w:lang w:val="en-NZ"/>
              </w:rPr>
            </w:pPr>
            <w:r w:rsidRPr="00EB7EC7">
              <w:t>Updated: Mapping details and minor corrections.</w:t>
            </w:r>
          </w:p>
        </w:tc>
      </w:tr>
      <w:tr w:rsidTr="00EB7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8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EC7">
            <w:pPr>
              <w:pStyle w:val="BodyText"/>
              <w:rPr>
                <w:lang w:val="en-NZ"/>
              </w:rPr>
            </w:pPr>
            <w:r w:rsidRPr="00EB7EC7">
              <w:t>Release 2</w:t>
            </w:r>
          </w:p>
        </w:tc>
        <w:tc>
          <w:tcPr>
            <w:tcW w:w="7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EC7" w:rsidP="00EB7EC7">
            <w:pPr>
              <w:pStyle w:val="BodyText"/>
            </w:pPr>
            <w:r w:rsidRPr="00EB7EC7">
              <w:t xml:space="preserve">Supersedes and is equivalent to Release 1 HLTENN039 Apply principles of wound management. </w:t>
            </w:r>
          </w:p>
          <w:p w:rsidR="00000000" w:rsidP="00EB7EC7">
            <w:pPr>
              <w:pStyle w:val="BodyText"/>
              <w:rPr>
                <w:lang w:val="en-NZ"/>
              </w:rPr>
            </w:pPr>
            <w:r w:rsidRPr="00EB7EC7">
              <w:t>Updated: Mapping details and minor corrections.</w:t>
            </w:r>
          </w:p>
        </w:tc>
      </w:tr>
      <w:tr w:rsidTr="00EB7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EC7">
            <w:pPr>
              <w:pStyle w:val="BodyText"/>
              <w:rPr>
                <w:lang w:val="en-NZ"/>
              </w:rPr>
            </w:pPr>
            <w:r w:rsidRPr="00EB7EC7">
              <w:t>Release 1</w:t>
            </w:r>
          </w:p>
        </w:tc>
        <w:tc>
          <w:tcPr>
            <w:tcW w:w="7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EC7" w:rsidP="00EB7EC7">
            <w:pPr>
              <w:pStyle w:val="BodyText"/>
            </w:pPr>
            <w:r w:rsidRPr="00EB7EC7">
              <w:t>HLTENN039 Apply principles of wound management supersedes and is not equivalent to HLTENN006 Apply principles of wound management in the clinical environment.</w:t>
            </w:r>
          </w:p>
        </w:tc>
      </w:tr>
    </w:tbl>
    <w:p w:rsidR="00000000" w:rsidRPr="00EB7EC7" w:rsidP="00EB7EC7">
      <w:pPr>
        <w:pStyle w:val="BodyText"/>
      </w:pPr>
    </w:p>
    <w:p w:rsidR="00000000" w:rsidRPr="00EB7EC7" w:rsidP="00EB7EC7">
      <w:pPr>
        <w:pStyle w:val="AllowPageBreak"/>
      </w:pPr>
    </w:p>
    <w:p w:rsidR="00000000" w:rsidRPr="00EB7EC7" w:rsidP="00EB7EC7">
      <w:pPr>
        <w:pStyle w:val="Heading1"/>
      </w:pPr>
      <w:bookmarkStart w:id="2" w:name="O_1214112"/>
      <w:bookmarkEnd w:id="2"/>
      <w:r w:rsidRPr="00EB7EC7">
        <w:t>Performance Evidence</w:t>
      </w:r>
    </w:p>
    <w:p w:rsidR="00000000" w:rsidRPr="00EB7EC7" w:rsidP="00761C44">
      <w:pPr>
        <w:pStyle w:val="BodyText"/>
      </w:pPr>
      <w:r w:rsidRPr="00EB7EC7">
        <w:t>Evidence of the ability to complete tasks outlined in e</w:t>
      </w:r>
      <w:r w:rsidRPr="00EB7EC7">
        <w:t>lements and performance criteria of this unit in the context of the job role, and:</w:t>
      </w:r>
    </w:p>
    <w:p w:rsidR="00000000" w:rsidRPr="00EB7EC7" w:rsidP="00EB7EC7">
      <w:pPr>
        <w:pStyle w:val="ListBullet"/>
      </w:pPr>
      <w:r w:rsidRPr="00EB7EC7">
        <w:t>perform wound care, including wound assessment, wound care planning and health education in the workplace on three different wounds.</w:t>
      </w:r>
    </w:p>
    <w:p w:rsidR="00000000" w:rsidRPr="00EB7EC7" w:rsidP="00761C44">
      <w:pPr>
        <w:pStyle w:val="BodyText"/>
      </w:pPr>
      <w:r w:rsidRPr="00EB7EC7">
        <w:t>The tasks must be undertaken in accorda</w:t>
      </w:r>
      <w:r w:rsidRPr="00EB7EC7">
        <w:t>nce with the Nursing and Midwifery Board of Australia (NMBA) professional practice standards, codes and guidelines.</w:t>
      </w:r>
    </w:p>
    <w:p w:rsidR="00000000" w:rsidRPr="00EB7EC7" w:rsidP="00EB7EC7">
      <w:pPr>
        <w:pStyle w:val="Heading1"/>
      </w:pPr>
      <w:bookmarkStart w:id="3" w:name="O_1214111"/>
      <w:bookmarkEnd w:id="3"/>
      <w:r w:rsidRPr="00EB7EC7">
        <w:t>Knowledge Evidence</w:t>
      </w:r>
    </w:p>
    <w:p w:rsidR="00000000" w:rsidRPr="00EB7EC7" w:rsidP="00761C44">
      <w:pPr>
        <w:pStyle w:val="BodyText"/>
      </w:pPr>
      <w:r w:rsidRPr="00EB7EC7">
        <w:t>Demonstrate knowledge required to complete tasks outlined in elements and performance criteria of this unit:</w:t>
      </w:r>
    </w:p>
    <w:p w:rsidR="00000000" w:rsidRPr="00EB7EC7" w:rsidP="00EB7EC7">
      <w:pPr>
        <w:pStyle w:val="ListBullet"/>
      </w:pPr>
      <w:r w:rsidRPr="00EB7EC7">
        <w:t>National Safety and Quality Health Service (NSQHS) Standards</w:t>
      </w:r>
    </w:p>
    <w:p w:rsidR="00000000" w:rsidRPr="00EB7EC7" w:rsidP="00EB7EC7">
      <w:pPr>
        <w:pStyle w:val="ListBullet"/>
      </w:pPr>
      <w:r w:rsidRPr="00EB7EC7">
        <w:t>Aseptic Non Touch Technique (ANTT) guidelines for wound dressings</w:t>
      </w:r>
    </w:p>
    <w:p w:rsidR="00000000" w:rsidRPr="00EB7EC7" w:rsidP="00EB7EC7">
      <w:pPr>
        <w:pStyle w:val="ListBullet"/>
      </w:pPr>
      <w:r w:rsidRPr="00EB7EC7">
        <w:t>community and educa</w:t>
      </w:r>
      <w:r w:rsidRPr="00EB7EC7">
        <w:t>tional resources and professional organisations associated with wound management</w:t>
      </w:r>
    </w:p>
    <w:p w:rsidR="00000000" w:rsidRPr="00EB7EC7" w:rsidP="00EB7EC7">
      <w:pPr>
        <w:pStyle w:val="ListBullet"/>
      </w:pPr>
      <w:r w:rsidRPr="00EB7EC7">
        <w:t>historical development of contemporary wound management strategies</w:t>
      </w:r>
    </w:p>
    <w:p w:rsidR="00000000" w:rsidRPr="00EB7EC7" w:rsidP="00EB7EC7">
      <w:pPr>
        <w:pStyle w:val="ListBullet"/>
      </w:pPr>
      <w:r w:rsidRPr="00EB7EC7">
        <w:t>pain management and medication administration timeframes to wound care</w:t>
      </w:r>
    </w:p>
    <w:p w:rsidR="00000000" w:rsidRPr="00EB7EC7" w:rsidP="00EB7EC7">
      <w:pPr>
        <w:pStyle w:val="ListBullet"/>
      </w:pPr>
      <w:r w:rsidRPr="00EB7EC7">
        <w:t>causes of wounds:</w:t>
      </w:r>
    </w:p>
    <w:p w:rsidR="00000000" w:rsidRPr="00EB7EC7" w:rsidP="00EB7EC7">
      <w:pPr>
        <w:pStyle w:val="ListBullet2"/>
      </w:pPr>
      <w:r w:rsidRPr="00EB7EC7">
        <w:t>micro-organisms</w:t>
      </w:r>
    </w:p>
    <w:p w:rsidR="00000000" w:rsidRPr="00EB7EC7" w:rsidP="00EB7EC7">
      <w:pPr>
        <w:pStyle w:val="ListBullet2"/>
      </w:pPr>
      <w:r w:rsidRPr="00EB7EC7">
        <w:t>co</w:t>
      </w:r>
      <w:r w:rsidRPr="00EB7EC7">
        <w:t>mmon fungal infections</w:t>
      </w:r>
    </w:p>
    <w:p w:rsidR="00000000" w:rsidRPr="00EB7EC7" w:rsidP="00EB7EC7">
      <w:pPr>
        <w:pStyle w:val="ListBullet2"/>
      </w:pPr>
      <w:r w:rsidRPr="00EB7EC7">
        <w:t>common viral infections</w:t>
      </w:r>
    </w:p>
    <w:p w:rsidR="00000000" w:rsidRPr="00EB7EC7" w:rsidP="00EB7EC7">
      <w:pPr>
        <w:pStyle w:val="ListBullet2"/>
      </w:pPr>
      <w:r w:rsidRPr="00EB7EC7">
        <w:t>surgical</w:t>
      </w:r>
    </w:p>
    <w:p w:rsidR="00000000" w:rsidRPr="00EB7EC7" w:rsidP="00EB7EC7">
      <w:pPr>
        <w:pStyle w:val="ListBullet2"/>
      </w:pPr>
      <w:r w:rsidRPr="00EB7EC7">
        <w:t>trauma</w:t>
      </w:r>
    </w:p>
    <w:p w:rsidR="00000000" w:rsidRPr="00EB7EC7" w:rsidP="00EB7EC7">
      <w:pPr>
        <w:pStyle w:val="ListBullet2"/>
      </w:pPr>
      <w:r w:rsidRPr="00EB7EC7">
        <w:t>chronic illness</w:t>
      </w:r>
    </w:p>
    <w:p w:rsidR="00000000" w:rsidRPr="00EB7EC7" w:rsidP="00EB7EC7">
      <w:pPr>
        <w:pStyle w:val="ListBullet"/>
      </w:pPr>
      <w:r w:rsidRPr="00EB7EC7">
        <w:t>organisational policies and procedures for wound care</w:t>
      </w:r>
    </w:p>
    <w:p w:rsidR="00000000" w:rsidRPr="00EB7EC7" w:rsidP="00EB7EC7">
      <w:pPr>
        <w:pStyle w:val="ListBullet"/>
      </w:pPr>
      <w:r w:rsidRPr="00EB7EC7">
        <w:t>wound management terminology</w:t>
      </w:r>
    </w:p>
    <w:p w:rsidR="00000000" w:rsidRPr="00EB7EC7" w:rsidP="00EB7EC7">
      <w:pPr>
        <w:pStyle w:val="ListBullet"/>
      </w:pPr>
      <w:r w:rsidRPr="00EB7EC7">
        <w:t>rapid response to physical injury:</w:t>
      </w:r>
    </w:p>
    <w:p w:rsidR="00000000" w:rsidRPr="00EB7EC7" w:rsidP="00EB7EC7">
      <w:pPr>
        <w:pStyle w:val="ListBullet2"/>
      </w:pPr>
      <w:r w:rsidRPr="00EB7EC7">
        <w:t>to control bleeding:</w:t>
      </w:r>
    </w:p>
    <w:p w:rsidR="00000000" w:rsidRPr="00EB7EC7" w:rsidP="00EB7EC7">
      <w:pPr>
        <w:pStyle w:val="ListBullet3"/>
      </w:pPr>
      <w:r w:rsidRPr="00EB7EC7">
        <w:t xml:space="preserve">vasoconstriction  </w:t>
      </w:r>
    </w:p>
    <w:p w:rsidR="00000000" w:rsidRPr="00EB7EC7" w:rsidP="00EB7EC7">
      <w:pPr>
        <w:pStyle w:val="ListBullet3"/>
      </w:pPr>
      <w:r w:rsidRPr="00EB7EC7">
        <w:t>platelet response</w:t>
      </w:r>
    </w:p>
    <w:p w:rsidR="00000000" w:rsidRPr="00EB7EC7" w:rsidP="00EB7EC7">
      <w:pPr>
        <w:pStyle w:val="ListBullet3"/>
      </w:pPr>
      <w:r w:rsidRPr="00EB7EC7">
        <w:t xml:space="preserve">biochemical response </w:t>
      </w:r>
    </w:p>
    <w:p w:rsidR="00000000" w:rsidRPr="00EB7EC7" w:rsidP="00EB7EC7">
      <w:pPr>
        <w:pStyle w:val="ListBullet2"/>
      </w:pPr>
      <w:r w:rsidRPr="00EB7EC7">
        <w:t>three phases of tissue repair and regeneration:</w:t>
      </w:r>
    </w:p>
    <w:p w:rsidR="00000000" w:rsidRPr="00EB7EC7" w:rsidP="00EB7EC7">
      <w:pPr>
        <w:pStyle w:val="ListBullet3"/>
      </w:pPr>
      <w:r w:rsidRPr="00EB7EC7">
        <w:t>inflammation (0 - 4 days)</w:t>
      </w:r>
    </w:p>
    <w:p w:rsidR="00000000" w:rsidRPr="00EB7EC7" w:rsidP="00EB7EC7">
      <w:pPr>
        <w:pStyle w:val="ListBullet3"/>
      </w:pPr>
      <w:r w:rsidRPr="00EB7EC7">
        <w:t>reconstruction (2 - 24 days)</w:t>
      </w:r>
    </w:p>
    <w:p w:rsidR="00000000" w:rsidRPr="00EB7EC7" w:rsidP="00EB7EC7">
      <w:pPr>
        <w:pStyle w:val="ListBullet3"/>
      </w:pPr>
      <w:r w:rsidRPr="00EB7EC7">
        <w:t xml:space="preserve">maturation (24 days - 1 year) </w:t>
      </w:r>
    </w:p>
    <w:p w:rsidR="00000000" w:rsidRPr="00EB7EC7" w:rsidP="00EB7EC7">
      <w:pPr>
        <w:pStyle w:val="ListBullet"/>
      </w:pPr>
      <w:r w:rsidRPr="00EB7EC7">
        <w:t>wound management techniques:</w:t>
      </w:r>
    </w:p>
    <w:p w:rsidR="00000000" w:rsidRPr="00EB7EC7" w:rsidP="00EB7EC7">
      <w:pPr>
        <w:pStyle w:val="ListBullet2"/>
      </w:pPr>
      <w:r w:rsidRPr="00EB7EC7">
        <w:t>wound debridement</w:t>
      </w:r>
    </w:p>
    <w:p w:rsidR="00000000" w:rsidRPr="00EB7EC7" w:rsidP="00EB7EC7">
      <w:pPr>
        <w:pStyle w:val="ListBullet2"/>
      </w:pPr>
      <w:r w:rsidRPr="00EB7EC7">
        <w:t>wound drains and wound drainage systems</w:t>
      </w:r>
    </w:p>
    <w:p w:rsidR="00000000" w:rsidRPr="00EB7EC7" w:rsidP="00EB7EC7">
      <w:pPr>
        <w:pStyle w:val="ListBullet2"/>
      </w:pPr>
      <w:r w:rsidRPr="00EB7EC7">
        <w:t>wound specimen collection</w:t>
      </w:r>
    </w:p>
    <w:p w:rsidR="00000000" w:rsidRPr="00EB7EC7" w:rsidP="00EB7EC7">
      <w:pPr>
        <w:pStyle w:val="ListBullet2"/>
      </w:pPr>
      <w:r w:rsidRPr="00EB7EC7">
        <w:t>interpreting laboratory results in consultation with registered nurse and multidisciplinary health care team</w:t>
      </w:r>
    </w:p>
    <w:p w:rsidR="00000000" w:rsidRPr="00EB7EC7" w:rsidP="00EB7EC7">
      <w:pPr>
        <w:pStyle w:val="ListBullet2"/>
      </w:pPr>
      <w:r w:rsidRPr="00EB7EC7">
        <w:t>doppler assessment</w:t>
      </w:r>
    </w:p>
    <w:p w:rsidR="00000000" w:rsidRPr="00EB7EC7" w:rsidP="00EB7EC7">
      <w:pPr>
        <w:pStyle w:val="ListBullet2"/>
      </w:pPr>
      <w:r w:rsidRPr="00EB7EC7">
        <w:t>compression therapy</w:t>
      </w:r>
    </w:p>
    <w:p w:rsidR="00000000" w:rsidRPr="00EB7EC7" w:rsidP="00EB7EC7">
      <w:pPr>
        <w:pStyle w:val="ListBullet2"/>
      </w:pPr>
      <w:r w:rsidRPr="00EB7EC7">
        <w:t>wound cleansing</w:t>
      </w:r>
    </w:p>
    <w:p w:rsidR="00000000" w:rsidRPr="00EB7EC7" w:rsidP="00EB7EC7">
      <w:pPr>
        <w:pStyle w:val="ListBullet2"/>
      </w:pPr>
      <w:r w:rsidRPr="00EB7EC7">
        <w:t>wound measurement</w:t>
      </w:r>
    </w:p>
    <w:p w:rsidR="00000000" w:rsidRPr="00EB7EC7" w:rsidP="00EB7EC7">
      <w:pPr>
        <w:pStyle w:val="ListBullet2"/>
      </w:pPr>
      <w:r w:rsidRPr="00EB7EC7">
        <w:t>clinical photography</w:t>
      </w:r>
    </w:p>
    <w:p w:rsidR="00000000" w:rsidRPr="00EB7EC7" w:rsidP="00EB7EC7">
      <w:pPr>
        <w:pStyle w:val="ListBullet2"/>
      </w:pPr>
      <w:r w:rsidRPr="00EB7EC7">
        <w:t>wound tracing</w:t>
      </w:r>
    </w:p>
    <w:p w:rsidR="00000000" w:rsidRPr="00EB7EC7" w:rsidP="00EB7EC7">
      <w:pPr>
        <w:pStyle w:val="ListBullet"/>
      </w:pPr>
      <w:r w:rsidRPr="00EB7EC7">
        <w:t>types of wounds:</w:t>
      </w:r>
    </w:p>
    <w:p w:rsidR="00000000" w:rsidRPr="00EB7EC7" w:rsidP="00EB7EC7">
      <w:pPr>
        <w:pStyle w:val="ListBullet2"/>
      </w:pPr>
      <w:r w:rsidRPr="00EB7EC7">
        <w:t>surgical wounds</w:t>
      </w:r>
    </w:p>
    <w:p w:rsidR="00000000" w:rsidRPr="00EB7EC7" w:rsidP="00EB7EC7">
      <w:pPr>
        <w:pStyle w:val="ListBullet2"/>
      </w:pPr>
      <w:r w:rsidRPr="00EB7EC7">
        <w:t>pressure ulcers</w:t>
      </w:r>
    </w:p>
    <w:p w:rsidR="00000000" w:rsidRPr="00EB7EC7" w:rsidP="00EB7EC7">
      <w:pPr>
        <w:pStyle w:val="ListBullet2"/>
      </w:pPr>
      <w:r w:rsidRPr="00EB7EC7">
        <w:t>venous ulcers</w:t>
      </w:r>
    </w:p>
    <w:p w:rsidR="00000000" w:rsidRPr="00EB7EC7" w:rsidP="00EB7EC7">
      <w:pPr>
        <w:pStyle w:val="ListBullet2"/>
      </w:pPr>
      <w:r w:rsidRPr="00EB7EC7">
        <w:t>arterial ulcers</w:t>
      </w:r>
    </w:p>
    <w:p w:rsidR="00000000" w:rsidRPr="00EB7EC7" w:rsidP="00EB7EC7">
      <w:pPr>
        <w:pStyle w:val="ListBullet2"/>
      </w:pPr>
      <w:r w:rsidRPr="00EB7EC7">
        <w:t>mixed ulcers</w:t>
      </w:r>
    </w:p>
    <w:p w:rsidR="00000000" w:rsidRPr="00EB7EC7" w:rsidP="00EB7EC7">
      <w:pPr>
        <w:pStyle w:val="ListBullet2"/>
      </w:pPr>
      <w:r w:rsidRPr="00EB7EC7">
        <w:t>malignant wounds</w:t>
      </w:r>
    </w:p>
    <w:p w:rsidR="00000000" w:rsidRPr="00EB7EC7" w:rsidP="00EB7EC7">
      <w:pPr>
        <w:pStyle w:val="ListBullet2"/>
      </w:pPr>
      <w:r w:rsidRPr="00EB7EC7">
        <w:t>neuropathic ulceration wounds</w:t>
      </w:r>
    </w:p>
    <w:p w:rsidR="00000000" w:rsidRPr="00EB7EC7" w:rsidP="00EB7EC7">
      <w:pPr>
        <w:pStyle w:val="ListBullet2"/>
      </w:pPr>
      <w:r w:rsidRPr="00EB7EC7">
        <w:t>infected wounds</w:t>
      </w:r>
    </w:p>
    <w:p w:rsidR="00000000" w:rsidRPr="00EB7EC7" w:rsidP="00EB7EC7">
      <w:pPr>
        <w:pStyle w:val="ListBullet2"/>
      </w:pPr>
      <w:r w:rsidRPr="00EB7EC7">
        <w:t>burns</w:t>
      </w:r>
    </w:p>
    <w:p w:rsidR="00000000" w:rsidRPr="00EB7EC7" w:rsidP="00EB7EC7">
      <w:pPr>
        <w:pStyle w:val="ListBullet2"/>
      </w:pPr>
      <w:r w:rsidRPr="00EB7EC7">
        <w:t>fistulas and sinuses</w:t>
      </w:r>
    </w:p>
    <w:p w:rsidR="00000000" w:rsidRPr="00EB7EC7" w:rsidP="00EB7EC7">
      <w:pPr>
        <w:pStyle w:val="ListBullet2"/>
      </w:pPr>
      <w:r w:rsidRPr="00EB7EC7">
        <w:t>skin grafts</w:t>
      </w:r>
    </w:p>
    <w:p w:rsidR="00000000" w:rsidRPr="00EB7EC7" w:rsidP="00EB7EC7">
      <w:pPr>
        <w:pStyle w:val="ListBullet2"/>
      </w:pPr>
      <w:r w:rsidRPr="00EB7EC7">
        <w:t xml:space="preserve">traumatic </w:t>
      </w:r>
    </w:p>
    <w:p w:rsidR="00000000" w:rsidRPr="00EB7EC7" w:rsidP="00EB7EC7">
      <w:pPr>
        <w:pStyle w:val="ListBullet2"/>
      </w:pPr>
      <w:r w:rsidRPr="00EB7EC7">
        <w:t>skin tears</w:t>
      </w:r>
    </w:p>
    <w:p w:rsidR="00000000" w:rsidRPr="00EB7EC7" w:rsidP="00EB7EC7">
      <w:pPr>
        <w:pStyle w:val="ListBullet"/>
      </w:pPr>
      <w:r w:rsidRPr="00EB7EC7">
        <w:t>wound management strategies:</w:t>
      </w:r>
    </w:p>
    <w:p w:rsidR="00000000" w:rsidRPr="00EB7EC7" w:rsidP="00EB7EC7">
      <w:pPr>
        <w:pStyle w:val="ListBullet2"/>
      </w:pPr>
      <w:r w:rsidRPr="00EB7EC7">
        <w:t>wound management principles</w:t>
      </w:r>
    </w:p>
    <w:p w:rsidR="00000000" w:rsidRPr="00EB7EC7" w:rsidP="00EB7EC7">
      <w:pPr>
        <w:pStyle w:val="ListBullet2"/>
      </w:pPr>
      <w:r w:rsidRPr="00EB7EC7">
        <w:t>moist wound healing</w:t>
      </w:r>
    </w:p>
    <w:p w:rsidR="00000000" w:rsidRPr="00EB7EC7" w:rsidP="00EB7EC7">
      <w:pPr>
        <w:pStyle w:val="ListBullet2"/>
      </w:pPr>
      <w:r w:rsidRPr="00EB7EC7">
        <w:t>comprehensive assessment</w:t>
      </w:r>
    </w:p>
    <w:p w:rsidR="00000000" w:rsidRPr="00EB7EC7" w:rsidP="00EB7EC7">
      <w:pPr>
        <w:pStyle w:val="ListBullet2"/>
      </w:pPr>
      <w:r w:rsidRPr="00EB7EC7">
        <w:t>individualised wound plan of care</w:t>
      </w:r>
    </w:p>
    <w:p w:rsidR="00000000" w:rsidRPr="00EB7EC7" w:rsidP="00EB7EC7">
      <w:pPr>
        <w:pStyle w:val="ListBullet2"/>
      </w:pPr>
      <w:r w:rsidRPr="00EB7EC7">
        <w:t>skin assessment</w:t>
      </w:r>
    </w:p>
    <w:p w:rsidR="00000000" w:rsidRPr="00EB7EC7" w:rsidP="00EB7EC7">
      <w:pPr>
        <w:pStyle w:val="ListBullet2"/>
      </w:pPr>
      <w:r w:rsidRPr="00EB7EC7">
        <w:t>risk assessment</w:t>
      </w:r>
    </w:p>
    <w:p w:rsidR="00000000" w:rsidRPr="00EB7EC7" w:rsidP="00EB7EC7">
      <w:pPr>
        <w:pStyle w:val="ListBullet2"/>
      </w:pPr>
      <w:r w:rsidRPr="00EB7EC7">
        <w:t>pressure support and relieving devices</w:t>
      </w:r>
    </w:p>
    <w:p w:rsidR="00000000" w:rsidRPr="00EB7EC7" w:rsidP="00EB7EC7">
      <w:pPr>
        <w:pStyle w:val="ListBullet2"/>
      </w:pPr>
      <w:r w:rsidRPr="00EB7EC7">
        <w:t>prevention programs</w:t>
      </w:r>
    </w:p>
    <w:p w:rsidR="00000000" w:rsidRPr="00EB7EC7" w:rsidP="00EB7EC7">
      <w:pPr>
        <w:pStyle w:val="ListBullet2"/>
      </w:pPr>
      <w:r w:rsidRPr="00EB7EC7">
        <w:t>wound characteristics</w:t>
      </w:r>
    </w:p>
    <w:p w:rsidR="00000000" w:rsidRPr="00EB7EC7" w:rsidP="00EB7EC7">
      <w:pPr>
        <w:pStyle w:val="ListBullet"/>
      </w:pPr>
      <w:r w:rsidRPr="00EB7EC7">
        <w:t>procedures for collecting wound specimens for microbiology and cytology</w:t>
      </w:r>
    </w:p>
    <w:p w:rsidR="00000000" w:rsidRPr="00EB7EC7" w:rsidP="00EB7EC7">
      <w:pPr>
        <w:pStyle w:val="ListBullet"/>
      </w:pPr>
      <w:r w:rsidRPr="00EB7EC7">
        <w:t>selection of wound products:</w:t>
      </w:r>
    </w:p>
    <w:p w:rsidR="00000000" w:rsidRPr="00EB7EC7" w:rsidP="00EB7EC7">
      <w:pPr>
        <w:pStyle w:val="ListBullet2"/>
      </w:pPr>
      <w:r w:rsidRPr="00EB7EC7">
        <w:t>primary dressing</w:t>
      </w:r>
    </w:p>
    <w:p w:rsidR="00000000" w:rsidRPr="00EB7EC7" w:rsidP="00EB7EC7">
      <w:pPr>
        <w:pStyle w:val="ListBullet2"/>
      </w:pPr>
      <w:r w:rsidRPr="00EB7EC7">
        <w:t>secondary dressing</w:t>
      </w:r>
    </w:p>
    <w:p w:rsidR="00000000" w:rsidRPr="00EB7EC7" w:rsidP="00EB7EC7">
      <w:pPr>
        <w:pStyle w:val="ListBullet2"/>
      </w:pPr>
      <w:r w:rsidRPr="00EB7EC7">
        <w:t>wound cleansing.</w:t>
      </w:r>
    </w:p>
    <w:p w:rsidR="00000000" w:rsidRPr="00EB7EC7" w:rsidP="00EB7EC7">
      <w:pPr>
        <w:pStyle w:val="AllowPageBreak"/>
      </w:pPr>
    </w:p>
    <w:p w:rsidR="00000000" w:rsidRPr="00EB7EC7" w:rsidP="00EB7EC7">
      <w:pPr>
        <w:pStyle w:val="Heading1"/>
      </w:pPr>
      <w:bookmarkStart w:id="4" w:name="O_1214110"/>
      <w:bookmarkEnd w:id="4"/>
      <w:r w:rsidRPr="00EB7EC7">
        <w:t>Assessment Conditions</w:t>
      </w:r>
    </w:p>
    <w:p w:rsidR="00000000" w:rsidRPr="00EB7EC7" w:rsidP="00761C44">
      <w:pPr>
        <w:pStyle w:val="BodyText"/>
      </w:pPr>
      <w:r w:rsidRPr="00EB7EC7">
        <w:t>To be eligible to apply for registration as an enrolled nurs</w:t>
      </w:r>
      <w:r w:rsidRPr="00EB7EC7">
        <w:t xml:space="preserve">e and to practice in Australia, each applicant must complete a Diploma of Nursing program accredited by the Australian Nursing and Midwifery Accreditation Council (ANMAC) and approved as ‘an approved program of study’ by the Nursing and Midwifery Board of </w:t>
      </w:r>
      <w:r w:rsidRPr="00EB7EC7">
        <w:t xml:space="preserve">Australia (NMBA) in accordance with the Enrolled Nurse Accreditation Standards. </w:t>
      </w:r>
    </w:p>
    <w:p w:rsidR="00000000" w:rsidRPr="00EB7EC7" w:rsidP="00761C44">
      <w:pPr>
        <w:pStyle w:val="BodyText"/>
      </w:pPr>
      <w:r w:rsidRPr="00EB7EC7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2F0A37">
        <w:rPr>
          <w:rStyle w:val="Hyperlink"/>
        </w:rPr>
        <w:t>https://www.ahpra.gov.au</w:t>
      </w:r>
      <w:r>
        <w:fldChar w:fldCharType="end"/>
      </w:r>
      <w:r w:rsidRPr="00EB7EC7">
        <w:t xml:space="preserve">.  </w:t>
      </w:r>
    </w:p>
    <w:p w:rsidR="00000000" w:rsidRPr="00EB7EC7" w:rsidP="00761C44">
      <w:pPr>
        <w:pStyle w:val="BodyText"/>
      </w:pPr>
      <w:r w:rsidRPr="00EB7EC7">
        <w:t>Skills must be demonstrated in the workplace or in a simulated environment as specified in the performance evidence that mode</w:t>
      </w:r>
      <w:r w:rsidRPr="00EB7EC7">
        <w:t>l industry operating conditions including access to real people for simulations and scenarios in enrolled nursing work.</w:t>
      </w:r>
    </w:p>
    <w:p w:rsidR="00000000" w:rsidRPr="00EB7EC7" w:rsidP="00761C44">
      <w:pPr>
        <w:pStyle w:val="BodyText"/>
      </w:pPr>
      <w:r w:rsidRPr="00EB7EC7">
        <w:t>Assessors must satisfy the Standards for Registered Training Organisations’ requirements for assessors.</w:t>
      </w:r>
    </w:p>
    <w:p w:rsidR="00000000" w:rsidRPr="00EB7EC7" w:rsidP="00761C44">
      <w:pPr>
        <w:pStyle w:val="BodyText"/>
      </w:pPr>
      <w:r w:rsidRPr="00EB7EC7">
        <w:t>Assessors must also hold current</w:t>
      </w:r>
      <w:r w:rsidRPr="00EB7EC7">
        <w:t xml:space="preserve"> registration as a registered nurse with the Nursing and Midwifery Board of Australia (NMBA).</w:t>
      </w:r>
    </w:p>
    <w:p w:rsidR="00000000" w:rsidRPr="00EB7EC7" w:rsidP="00EB7EC7">
      <w:pPr>
        <w:pStyle w:val="Heading1"/>
      </w:pPr>
      <w:bookmarkStart w:id="5" w:name="O_1214124"/>
      <w:bookmarkEnd w:id="5"/>
      <w:r w:rsidRPr="00EB7EC7">
        <w:t>Links</w:t>
      </w:r>
    </w:p>
    <w:p w:rsidR="00000000" w:rsidRPr="00EB7EC7" w:rsidP="00761C44">
      <w:pPr>
        <w:pStyle w:val="BodyText"/>
      </w:pPr>
      <w:r w:rsidRPr="00EB7E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F0A3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B7EC7" w:rsidP="00EB7EC7"/>
    <w:sectPr w:rsidSect="00EB7E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EC7" w:rsidRPr="00761C44" w:rsidP="00761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C44" w:rsidP="00EB7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C44" w:rsidP="00EB7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1C44" w:rsidP="00EB7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EC7" w:rsidRPr="00761C44" w:rsidP="00761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C44" w:rsidRPr="002D2AF8" w:rsidP="00EB7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HLTENN039 Apply principles of wound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61C44" w:rsidP="00EB7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1AB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5C8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C6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EC7"/>
  </w:style>
  <w:style w:type="character" w:customStyle="1" w:styleId="Heading1Char">
    <w:name w:val="Heading 1 Char"/>
    <w:basedOn w:val="DefaultParagraphFont"/>
    <w:link w:val="Heading1"/>
    <w:rsid w:val="00EB7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E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E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EC7"/>
    <w:rPr>
      <w:b/>
      <w:spacing w:val="0"/>
    </w:rPr>
  </w:style>
  <w:style w:type="paragraph" w:styleId="ListBullet2">
    <w:name w:val="List Bullet 2"/>
    <w:basedOn w:val="List2"/>
    <w:rsid w:val="00EB7E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7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7E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7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E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7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E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EC7"/>
    <w:rPr>
      <w:i/>
    </w:rPr>
  </w:style>
  <w:style w:type="paragraph" w:styleId="Caption">
    <w:name w:val="caption"/>
    <w:basedOn w:val="BodyText"/>
    <w:next w:val="Normal"/>
    <w:qFormat/>
    <w:rsid w:val="00EB7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EC7"/>
  </w:style>
  <w:style w:type="paragraph" w:styleId="TableofFigures">
    <w:name w:val="table of figures"/>
    <w:basedOn w:val="Normal"/>
    <w:next w:val="Normal"/>
    <w:semiHidden/>
    <w:rsid w:val="00EB7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E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7EC7"/>
    <w:rPr>
      <w:rFonts w:ascii="Wingdings" w:hAnsi="Wingdings"/>
    </w:rPr>
  </w:style>
  <w:style w:type="paragraph" w:customStyle="1" w:styleId="TableHeading">
    <w:name w:val="Table Heading"/>
    <w:basedOn w:val="HeadingBase"/>
    <w:rsid w:val="00EB7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EC7"/>
    <w:rPr>
      <w:color w:val="0033CC"/>
      <w:u w:val="none"/>
    </w:rPr>
  </w:style>
  <w:style w:type="paragraph" w:customStyle="1" w:styleId="BodyTextRight">
    <w:name w:val="Body Text Right"/>
    <w:basedOn w:val="BodyText"/>
    <w:rsid w:val="00EB7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E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EC7"/>
    <w:rPr>
      <w:sz w:val="32"/>
    </w:rPr>
  </w:style>
  <w:style w:type="paragraph" w:customStyle="1" w:styleId="HeadingProcedure">
    <w:name w:val="Heading Procedure"/>
    <w:basedOn w:val="HeadingBase"/>
    <w:next w:val="Normal"/>
    <w:rsid w:val="00EB7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EC7"/>
    <w:pPr>
      <w:spacing w:before="60" w:after="60"/>
    </w:pPr>
  </w:style>
  <w:style w:type="paragraph" w:styleId="ListContinue">
    <w:name w:val="List Continue"/>
    <w:basedOn w:val="List"/>
    <w:rsid w:val="00EB7EC7"/>
    <w:pPr>
      <w:ind w:firstLine="0"/>
    </w:pPr>
  </w:style>
  <w:style w:type="paragraph" w:customStyle="1" w:styleId="ListNote">
    <w:name w:val="List Note"/>
    <w:basedOn w:val="List"/>
    <w:rsid w:val="00EB7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EC7"/>
    <w:rPr>
      <w:rFonts w:ascii="Courier New" w:hAnsi="Courier New"/>
    </w:rPr>
  </w:style>
  <w:style w:type="paragraph" w:customStyle="1" w:styleId="NoteBullet">
    <w:name w:val="Note Bullet"/>
    <w:basedOn w:val="Note"/>
    <w:rsid w:val="00EB7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E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7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EC7"/>
    <w:rPr>
      <w:b/>
      <w:smallCaps/>
    </w:rPr>
  </w:style>
  <w:style w:type="paragraph" w:customStyle="1" w:styleId="TableListNumber">
    <w:name w:val="Table List Number"/>
    <w:basedOn w:val="ListNumber"/>
    <w:rsid w:val="00EB7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EC7"/>
    <w:pPr>
      <w:numPr>
        <w:numId w:val="10"/>
      </w:numPr>
    </w:pPr>
  </w:style>
  <w:style w:type="paragraph" w:customStyle="1" w:styleId="ListAlpha2">
    <w:name w:val="List Alpha 2"/>
    <w:basedOn w:val="List2"/>
    <w:rsid w:val="00EB7EC7"/>
    <w:pPr>
      <w:numPr>
        <w:numId w:val="9"/>
      </w:numPr>
    </w:pPr>
  </w:style>
  <w:style w:type="paragraph" w:styleId="List2">
    <w:name w:val="List 2"/>
    <w:basedOn w:val="BodyText"/>
    <w:rsid w:val="00EB7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E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7E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7EC7"/>
    <w:pPr>
      <w:numPr>
        <w:numId w:val="5"/>
      </w:numPr>
    </w:pPr>
  </w:style>
  <w:style w:type="paragraph" w:styleId="ListContinue2">
    <w:name w:val="List Continue 2"/>
    <w:basedOn w:val="List2"/>
    <w:rsid w:val="00EB7EC7"/>
    <w:pPr>
      <w:ind w:firstLine="0"/>
    </w:pPr>
  </w:style>
  <w:style w:type="paragraph" w:styleId="ListContinue3">
    <w:name w:val="List Continue 3"/>
    <w:basedOn w:val="List3"/>
    <w:rsid w:val="00EB7EC7"/>
    <w:pPr>
      <w:ind w:left="1021" w:firstLine="0"/>
    </w:pPr>
  </w:style>
  <w:style w:type="paragraph" w:styleId="ListContinue4">
    <w:name w:val="List Continue 4"/>
    <w:basedOn w:val="List4"/>
    <w:rsid w:val="00EB7EC7"/>
    <w:pPr>
      <w:ind w:firstLine="0"/>
    </w:pPr>
  </w:style>
  <w:style w:type="paragraph" w:styleId="ListContinue5">
    <w:name w:val="List Continue 5"/>
    <w:basedOn w:val="List5"/>
    <w:rsid w:val="00EB7EC7"/>
    <w:pPr>
      <w:ind w:firstLine="0"/>
    </w:pPr>
  </w:style>
  <w:style w:type="paragraph" w:styleId="ListNumber3">
    <w:name w:val="List Number 3"/>
    <w:basedOn w:val="List3"/>
    <w:rsid w:val="00EB7EC7"/>
    <w:pPr>
      <w:numPr>
        <w:numId w:val="6"/>
      </w:numPr>
    </w:pPr>
  </w:style>
  <w:style w:type="paragraph" w:styleId="ListNumber4">
    <w:name w:val="List Number 4"/>
    <w:basedOn w:val="List4"/>
    <w:rsid w:val="00EB7EC7"/>
    <w:pPr>
      <w:numPr>
        <w:numId w:val="7"/>
      </w:numPr>
    </w:pPr>
  </w:style>
  <w:style w:type="paragraph" w:styleId="ListNumber5">
    <w:name w:val="List Number 5"/>
    <w:basedOn w:val="List5"/>
    <w:rsid w:val="00EB7EC7"/>
    <w:pPr>
      <w:numPr>
        <w:numId w:val="8"/>
      </w:numPr>
    </w:pPr>
  </w:style>
  <w:style w:type="paragraph" w:styleId="BlockText">
    <w:name w:val="Block Text"/>
    <w:basedOn w:val="Normal"/>
    <w:rsid w:val="00EB7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EC7"/>
    <w:rPr>
      <w:sz w:val="16"/>
      <w:vertAlign w:val="superscript"/>
    </w:rPr>
  </w:style>
  <w:style w:type="character" w:customStyle="1" w:styleId="Symbols">
    <w:name w:val="Symbols"/>
    <w:basedOn w:val="DefaultParagraphFont"/>
    <w:rsid w:val="00EB7EC7"/>
    <w:rPr>
      <w:rFonts w:ascii="Symbol" w:hAnsi="Symbol"/>
    </w:rPr>
  </w:style>
  <w:style w:type="character" w:customStyle="1" w:styleId="MenuOptions">
    <w:name w:val="Menu Options"/>
    <w:basedOn w:val="DefaultParagraphFont"/>
    <w:rsid w:val="00EB7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EC7"/>
    <w:rPr>
      <w:b/>
    </w:rPr>
  </w:style>
  <w:style w:type="character" w:customStyle="1" w:styleId="Underlined">
    <w:name w:val="Underlined"/>
    <w:basedOn w:val="DefaultParagraphFont"/>
    <w:rsid w:val="00EB7EC7"/>
    <w:rPr>
      <w:u w:val="single"/>
    </w:rPr>
  </w:style>
  <w:style w:type="paragraph" w:customStyle="1" w:styleId="TableBodyTextRight">
    <w:name w:val="Table Body Text Right"/>
    <w:basedOn w:val="TableBodyText"/>
    <w:rsid w:val="00EB7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EC7"/>
    <w:rPr>
      <w:sz w:val="18"/>
    </w:rPr>
  </w:style>
  <w:style w:type="paragraph" w:customStyle="1" w:styleId="BodySmallRight">
    <w:name w:val="Body Small Right"/>
    <w:basedOn w:val="BodyTextRight"/>
    <w:rsid w:val="00EB7EC7"/>
    <w:rPr>
      <w:sz w:val="18"/>
      <w:szCs w:val="18"/>
    </w:rPr>
  </w:style>
  <w:style w:type="paragraph" w:customStyle="1" w:styleId="MarginEdition">
    <w:name w:val="Margin Edition"/>
    <w:basedOn w:val="MarginNote"/>
    <w:rsid w:val="00EB7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EC7"/>
    <w:rPr>
      <w:sz w:val="2"/>
      <w:szCs w:val="2"/>
    </w:rPr>
  </w:style>
  <w:style w:type="character" w:customStyle="1" w:styleId="Small">
    <w:name w:val="Small"/>
    <w:basedOn w:val="DefaultParagraphFont"/>
    <w:rsid w:val="00EB7EC7"/>
    <w:rPr>
      <w:sz w:val="16"/>
    </w:rPr>
  </w:style>
  <w:style w:type="paragraph" w:customStyle="1" w:styleId="WideTable">
    <w:name w:val="Wide Table"/>
    <w:basedOn w:val="Normal"/>
    <w:rsid w:val="00EB7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EC7"/>
  </w:style>
  <w:style w:type="paragraph" w:styleId="Quote">
    <w:name w:val="Quote"/>
    <w:basedOn w:val="Heading1"/>
    <w:link w:val="QuoteChar"/>
    <w:qFormat/>
    <w:rsid w:val="00EB7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EC7"/>
    <w:pPr>
      <w:pageBreakBefore/>
    </w:pPr>
  </w:style>
  <w:style w:type="paragraph" w:customStyle="1" w:styleId="Border">
    <w:name w:val="Border"/>
    <w:basedOn w:val="Normal"/>
    <w:qFormat/>
    <w:rsid w:val="00EB7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EC7"/>
    <w:rPr>
      <w:u w:val="single"/>
    </w:rPr>
  </w:style>
  <w:style w:type="character" w:customStyle="1" w:styleId="BoldandItalics">
    <w:name w:val="Bold and Italics"/>
    <w:qFormat/>
    <w:rsid w:val="00EB7EC7"/>
    <w:rPr>
      <w:b/>
      <w:i/>
      <w:u w:val="none"/>
    </w:rPr>
  </w:style>
  <w:style w:type="paragraph" w:styleId="BalloonText">
    <w:name w:val="Balloon Text"/>
    <w:basedOn w:val="Normal"/>
    <w:link w:val="BalloonTextChar"/>
    <w:rsid w:val="00EB7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EC7"/>
    <w:pPr>
      <w:spacing w:before="0" w:after="0"/>
    </w:pPr>
  </w:style>
  <w:style w:type="paragraph" w:customStyle="1" w:styleId="BodyTextBold">
    <w:name w:val="Body Text Bold"/>
    <w:basedOn w:val="BodyText"/>
    <w:qFormat/>
    <w:rsid w:val="00EB7EC7"/>
    <w:rPr>
      <w:b/>
    </w:rPr>
  </w:style>
  <w:style w:type="character" w:styleId="Hyperlink">
    <w:name w:val="Hyperlink"/>
    <w:basedOn w:val="DefaultParagraphFont"/>
    <w:uiPriority w:val="99"/>
    <w:unhideWhenUsed/>
    <w:rsid w:val="00761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3757</Characters>
  <Application>Microsoft Office Word</Application>
  <DocSecurity>0</DocSecurity>
  <Lines>125</Lines>
  <Paragraphs>107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HLTENN039 Apply principles of wound management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