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8F4" w:rsidP="005468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HLTENN037 Perform clinical assessment and contribute to planning nursing care</w:t>
      </w:r>
      <w:r>
        <w:fldChar w:fldCharType="end"/>
      </w:r>
    </w:p>
    <w:p w:rsidR="005468F4" w:rsidP="005468F4">
      <w:pPr>
        <w:pStyle w:val="Version"/>
        <w:sectPr w:rsidSect="00A77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7A10" w:rsidP="00A77A10">
      <w:pPr>
        <w:pStyle w:val="SuperHeading"/>
      </w:pPr>
      <w:r w:rsidRPr="00A77A10">
        <w:t>Assessment Requirements for HLTENN037 Perform clinical assessment and contribute to planning nursing care</w:t>
      </w:r>
    </w:p>
    <w:p w:rsidR="00000000" w:rsidRPr="00A77A10" w:rsidP="00A77A10">
      <w:pPr>
        <w:pStyle w:val="Heading1"/>
      </w:pPr>
      <w:bookmarkStart w:id="1" w:name="O_1200335"/>
      <w:bookmarkEnd w:id="1"/>
      <w:r w:rsidRPr="00A77A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77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7A10" w:rsidP="00A77A10">
            <w:pPr>
              <w:pStyle w:val="BodyText"/>
            </w:pPr>
            <w:r w:rsidRPr="00A77A1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7A10">
            <w:pPr>
              <w:pStyle w:val="BodyText"/>
              <w:rPr>
                <w:lang w:val="en-NZ"/>
              </w:rPr>
            </w:pPr>
            <w:r w:rsidRPr="00A77A10">
              <w:rPr>
                <w:rStyle w:val="SpecialBold"/>
              </w:rPr>
              <w:t>Comments</w:t>
            </w:r>
          </w:p>
        </w:tc>
      </w:tr>
      <w:tr w:rsidTr="00A77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A10">
            <w:pPr>
              <w:pStyle w:val="BodyText"/>
              <w:rPr>
                <w:lang w:val="en-NZ"/>
              </w:rPr>
            </w:pPr>
            <w:r w:rsidRPr="00A77A1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A10" w:rsidP="00A77A10">
            <w:pPr>
              <w:pStyle w:val="BodyText"/>
            </w:pPr>
            <w:r w:rsidRPr="00A77A10">
              <w:t xml:space="preserve">Release 2 HLTENN037 Perform clinical assessment and contribute to planning nursing care supersedes and is equivalent to Release 1 HLTENN037 Perform clinical assessment and contribute to planning nursing care. </w:t>
            </w:r>
          </w:p>
          <w:p w:rsidR="00000000" w:rsidRPr="00A77A10" w:rsidP="00A77A10">
            <w:pPr>
              <w:pStyle w:val="BodyText"/>
            </w:pPr>
            <w:r w:rsidRPr="00A77A10">
              <w:t>Updated:</w:t>
            </w:r>
          </w:p>
          <w:p w:rsidR="00000000" w:rsidP="00A77A10">
            <w:pPr>
              <w:pStyle w:val="BodyText"/>
              <w:rPr>
                <w:lang w:val="en-NZ"/>
              </w:rPr>
            </w:pPr>
            <w:r w:rsidRPr="00A77A10">
              <w:t>Mapping details and minor corrections</w:t>
            </w:r>
            <w:r w:rsidRPr="00A77A10">
              <w:t>.</w:t>
            </w:r>
          </w:p>
        </w:tc>
      </w:tr>
      <w:tr w:rsidTr="00A77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A10">
            <w:pPr>
              <w:pStyle w:val="BodyText"/>
              <w:rPr>
                <w:lang w:val="en-NZ"/>
              </w:rPr>
            </w:pPr>
            <w:r w:rsidRPr="00A77A1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A10" w:rsidP="00A77A10">
            <w:pPr>
              <w:pStyle w:val="BodyText"/>
            </w:pPr>
            <w:r w:rsidRPr="00A77A10">
              <w:t>HLTENN037 Perform clinical assessment and contribute to planning nursing care supersedes and is equivalent to HLTENN003 Perform clinical assessment and contribute to planning nursing care.</w:t>
            </w:r>
          </w:p>
        </w:tc>
      </w:tr>
    </w:tbl>
    <w:p w:rsidR="005468F4" w:rsidP="00A77A10">
      <w:pPr>
        <w:pStyle w:val="BodyText"/>
      </w:pPr>
    </w:p>
    <w:p w:rsidR="005468F4" w:rsidP="00A77A10">
      <w:pPr>
        <w:pStyle w:val="BodyText"/>
      </w:pPr>
    </w:p>
    <w:p w:rsidR="00000000" w:rsidRPr="00A77A10" w:rsidP="00A77A10">
      <w:pPr>
        <w:pStyle w:val="Heading1"/>
      </w:pPr>
      <w:bookmarkStart w:id="2" w:name="O_1200334"/>
      <w:bookmarkEnd w:id="2"/>
      <w:r w:rsidRPr="00A77A10">
        <w:t>Performance Evidence</w:t>
      </w:r>
    </w:p>
    <w:p w:rsidR="00000000" w:rsidRPr="00A77A10" w:rsidP="005468F4">
      <w:pPr>
        <w:pStyle w:val="BodyText"/>
      </w:pPr>
      <w:r w:rsidRPr="00A77A10">
        <w:t>Evidence of the ability to complete tasks outlined in elements and performance criteria of this unit in the context of the job role, and:</w:t>
      </w:r>
    </w:p>
    <w:p w:rsidR="00000000" w:rsidRPr="00A77A10" w:rsidP="00A77A10">
      <w:pPr>
        <w:pStyle w:val="ListBullet"/>
      </w:pPr>
      <w:r w:rsidRPr="00A77A10">
        <w:t>perform nursing admission and discharge as per organisational policies and procedures for:</w:t>
      </w:r>
    </w:p>
    <w:p w:rsidR="00000000" w:rsidRPr="00A77A10" w:rsidP="00A77A10">
      <w:pPr>
        <w:pStyle w:val="ListBullet2"/>
      </w:pPr>
      <w:r w:rsidRPr="00A77A10">
        <w:t>one person in the workpla</w:t>
      </w:r>
      <w:r w:rsidRPr="00A77A10">
        <w:t>ce.</w:t>
      </w:r>
    </w:p>
    <w:p w:rsidR="00000000" w:rsidRPr="00A77A10" w:rsidP="00A77A10">
      <w:pPr>
        <w:pStyle w:val="ListBullet2"/>
      </w:pPr>
      <w:r w:rsidRPr="00A77A10">
        <w:t>one person in the workplace or in a simulated environment.</w:t>
      </w:r>
    </w:p>
    <w:p w:rsidR="00000000" w:rsidRPr="00A77A10" w:rsidP="00A77A10">
      <w:pPr>
        <w:pStyle w:val="ListBullet"/>
      </w:pPr>
      <w:r w:rsidRPr="00A77A10">
        <w:t>conduct comprehensive clinical health assessment on two different persons including:</w:t>
      </w:r>
    </w:p>
    <w:p w:rsidR="00000000" w:rsidRPr="00A77A10" w:rsidP="00A77A10">
      <w:pPr>
        <w:pStyle w:val="ListBullet2"/>
      </w:pPr>
      <w:r w:rsidRPr="00A77A10">
        <w:t>blood glucose monitoring.</w:t>
      </w:r>
    </w:p>
    <w:p w:rsidR="00000000" w:rsidRPr="00A77A10" w:rsidP="00A77A10">
      <w:pPr>
        <w:pStyle w:val="ListBullet2"/>
      </w:pPr>
      <w:r w:rsidRPr="00A77A10">
        <w:t>vital signs.</w:t>
      </w:r>
    </w:p>
    <w:p w:rsidR="00000000" w:rsidRPr="00A77A10" w:rsidP="00A77A10">
      <w:pPr>
        <w:pStyle w:val="ListBullet2"/>
      </w:pPr>
      <w:r w:rsidRPr="00A77A10">
        <w:t>integumentary assessment.</w:t>
      </w:r>
    </w:p>
    <w:p w:rsidR="00000000" w:rsidRPr="00A77A10" w:rsidP="00A77A10">
      <w:pPr>
        <w:pStyle w:val="ListBullet2"/>
      </w:pPr>
      <w:r w:rsidRPr="00A77A10">
        <w:t>urinalysis</w:t>
      </w:r>
    </w:p>
    <w:p w:rsidR="00000000" w:rsidRPr="00A77A10" w:rsidP="00A77A10">
      <w:pPr>
        <w:pStyle w:val="ListBullet2"/>
      </w:pPr>
      <w:r w:rsidRPr="00A77A10">
        <w:t>neurological observations.</w:t>
      </w:r>
    </w:p>
    <w:p w:rsidR="00000000" w:rsidRPr="00A77A10" w:rsidP="00A77A10">
      <w:pPr>
        <w:pStyle w:val="ListBullet2"/>
      </w:pPr>
      <w:r w:rsidRPr="00A77A10">
        <w:t>neu</w:t>
      </w:r>
      <w:r w:rsidRPr="00A77A10">
        <w:t xml:space="preserve">rovascular observations. </w:t>
      </w:r>
    </w:p>
    <w:p w:rsidR="00000000" w:rsidRPr="00A77A10" w:rsidP="00A77A10">
      <w:pPr>
        <w:pStyle w:val="ListBullet2"/>
      </w:pPr>
      <w:r w:rsidRPr="00A77A10">
        <w:t xml:space="preserve">pain assessment. </w:t>
      </w:r>
    </w:p>
    <w:p w:rsidR="00000000" w:rsidRPr="00A77A10" w:rsidP="00A77A10">
      <w:pPr>
        <w:pStyle w:val="ListBullet"/>
      </w:pPr>
      <w:r w:rsidRPr="00A77A10">
        <w:t>develop one plan of nursing care based on the comprehensive clinical health assessment.</w:t>
      </w:r>
    </w:p>
    <w:p w:rsidR="00000000" w:rsidRPr="00A77A10" w:rsidP="005468F4">
      <w:pPr>
        <w:pStyle w:val="BodyText"/>
      </w:pPr>
      <w:r w:rsidRPr="00A77A10">
        <w:t>The tasks must be undertaken in accordance with the Nursing and Midwifery Board of Australia (NMBA) professional practice standards, codes and guidelines.</w:t>
      </w:r>
    </w:p>
    <w:p w:rsidR="00000000" w:rsidRPr="00A77A10" w:rsidP="00A77A10">
      <w:pPr>
        <w:pStyle w:val="Heading1"/>
      </w:pPr>
      <w:bookmarkStart w:id="3" w:name="O_1200333"/>
      <w:bookmarkEnd w:id="3"/>
      <w:r w:rsidRPr="00A77A10">
        <w:t>Knowledge Evidence</w:t>
      </w:r>
    </w:p>
    <w:p w:rsidR="00000000" w:rsidRPr="00A77A10" w:rsidP="005468F4">
      <w:pPr>
        <w:pStyle w:val="BodyText"/>
      </w:pPr>
      <w:r w:rsidRPr="00A77A10">
        <w:t>Demonstrate knowledge required to complete tasks outlined in el</w:t>
      </w:r>
      <w:r w:rsidRPr="00A77A10">
        <w:t>ements and performance criteria of this unit:</w:t>
      </w:r>
    </w:p>
    <w:p w:rsidR="00000000" w:rsidRPr="00A77A10" w:rsidP="00A77A10">
      <w:pPr>
        <w:pStyle w:val="ListBullet"/>
      </w:pPr>
      <w:r w:rsidRPr="00A77A10">
        <w:t>admission and discharge planning procedures and processes and documentation required.</w:t>
      </w:r>
    </w:p>
    <w:p w:rsidR="00000000" w:rsidRPr="00A77A10" w:rsidP="00A77A10">
      <w:pPr>
        <w:pStyle w:val="ListBullet"/>
      </w:pPr>
      <w:r w:rsidRPr="00A77A10">
        <w:t>human growth and developmental stages.</w:t>
      </w:r>
    </w:p>
    <w:p w:rsidR="00000000" w:rsidRPr="00A77A10" w:rsidP="00A77A10">
      <w:pPr>
        <w:pStyle w:val="ListBullet"/>
      </w:pPr>
      <w:r w:rsidRPr="00A77A10">
        <w:t>influences of genetics and environment on development.</w:t>
      </w:r>
    </w:p>
    <w:p w:rsidR="00000000" w:rsidRPr="00A77A10" w:rsidP="00A77A10">
      <w:pPr>
        <w:pStyle w:val="ListBullet"/>
      </w:pPr>
      <w:r w:rsidRPr="00A77A10">
        <w:t>impact of family on a person’</w:t>
      </w:r>
      <w:r w:rsidRPr="00A77A10">
        <w:t>s gender-specific health care needs.</w:t>
      </w:r>
    </w:p>
    <w:p w:rsidR="00000000" w:rsidRPr="00A77A10" w:rsidP="00A77A10">
      <w:pPr>
        <w:pStyle w:val="ListBullet"/>
      </w:pPr>
      <w:r w:rsidRPr="00A77A10">
        <w:t>how to use equipment for health assessment and data collection.</w:t>
      </w:r>
    </w:p>
    <w:p w:rsidR="00000000" w:rsidRPr="00A77A10" w:rsidP="00A77A10">
      <w:pPr>
        <w:pStyle w:val="ListBullet"/>
      </w:pPr>
      <w:r w:rsidRPr="00A77A10">
        <w:t>how to assist a person in activities of daily living including aids to assist activities.</w:t>
      </w:r>
    </w:p>
    <w:p w:rsidR="00000000" w:rsidRPr="00A77A10" w:rsidP="00A77A10">
      <w:pPr>
        <w:pStyle w:val="ListBullet"/>
      </w:pPr>
      <w:r w:rsidRPr="00A77A10">
        <w:t>how to perform clinical measurements and assessments for:</w:t>
      </w:r>
    </w:p>
    <w:p w:rsidR="00000000" w:rsidRPr="00A77A10" w:rsidP="00A77A10">
      <w:pPr>
        <w:pStyle w:val="ListBullet2"/>
      </w:pPr>
      <w:r w:rsidRPr="00A77A10">
        <w:t xml:space="preserve">vital </w:t>
      </w:r>
      <w:r w:rsidRPr="00A77A10">
        <w:t>signs.</w:t>
      </w:r>
    </w:p>
    <w:p w:rsidR="00000000" w:rsidRPr="00A77A10" w:rsidP="00A77A10">
      <w:pPr>
        <w:pStyle w:val="ListBullet2"/>
      </w:pPr>
      <w:r w:rsidRPr="00A77A10">
        <w:t>blood glucose level test.</w:t>
      </w:r>
    </w:p>
    <w:p w:rsidR="00000000" w:rsidRPr="00A77A10" w:rsidP="00A77A10">
      <w:pPr>
        <w:pStyle w:val="ListBullet2"/>
      </w:pPr>
      <w:r w:rsidRPr="00A77A10">
        <w:t>height and weight.</w:t>
      </w:r>
    </w:p>
    <w:p w:rsidR="00000000" w:rsidRPr="00A77A10" w:rsidP="00A77A10">
      <w:pPr>
        <w:pStyle w:val="ListBullet2"/>
      </w:pPr>
      <w:r w:rsidRPr="00A77A10">
        <w:t>oxygen therapy.</w:t>
      </w:r>
    </w:p>
    <w:p w:rsidR="00000000" w:rsidRPr="00A77A10" w:rsidP="00A77A10">
      <w:pPr>
        <w:pStyle w:val="ListBullet2"/>
      </w:pPr>
      <w:r w:rsidRPr="00A77A10">
        <w:t>neurological observation and conscious state.</w:t>
      </w:r>
    </w:p>
    <w:p w:rsidR="00000000" w:rsidRPr="00A77A10" w:rsidP="00A77A10">
      <w:pPr>
        <w:pStyle w:val="ListBullet2"/>
      </w:pPr>
      <w:r w:rsidRPr="00A77A10">
        <w:t>neurovascular observation.</w:t>
      </w:r>
    </w:p>
    <w:p w:rsidR="00000000" w:rsidRPr="00A77A10" w:rsidP="00A77A10">
      <w:pPr>
        <w:pStyle w:val="ListBullet2"/>
      </w:pPr>
      <w:r w:rsidRPr="00A77A10">
        <w:t>sensory perception, personal aids and devices required for hearing and sight.</w:t>
      </w:r>
    </w:p>
    <w:p w:rsidR="00000000" w:rsidRPr="00A77A10" w:rsidP="00A77A10">
      <w:pPr>
        <w:pStyle w:val="ListBullet2"/>
      </w:pPr>
      <w:r w:rsidRPr="00A77A10">
        <w:t>skin assessment.</w:t>
      </w:r>
    </w:p>
    <w:p w:rsidR="00000000" w:rsidRPr="00A77A10" w:rsidP="00A77A10">
      <w:pPr>
        <w:pStyle w:val="ListBullet2"/>
      </w:pPr>
      <w:r w:rsidRPr="00A77A10">
        <w:t>urinalysis</w:t>
      </w:r>
    </w:p>
    <w:p w:rsidR="00000000" w:rsidRPr="00A77A10" w:rsidP="00A77A10">
      <w:pPr>
        <w:pStyle w:val="ListBullet2"/>
      </w:pPr>
      <w:r w:rsidRPr="00A77A10">
        <w:t xml:space="preserve">pain assessment </w:t>
      </w:r>
    </w:p>
    <w:p w:rsidR="00000000" w:rsidRPr="00A77A10" w:rsidP="00A77A10">
      <w:pPr>
        <w:pStyle w:val="ListBullet2"/>
      </w:pPr>
      <w:r w:rsidRPr="00A77A10">
        <w:t>gastrointestinal and bowel sounds</w:t>
      </w:r>
    </w:p>
    <w:p w:rsidR="00000000" w:rsidRPr="00A77A10" w:rsidP="00A77A10">
      <w:pPr>
        <w:pStyle w:val="ListBullet"/>
      </w:pPr>
      <w:r w:rsidRPr="00A77A10">
        <w:t>techniques for interpretation and analysis of health-related information.</w:t>
      </w:r>
    </w:p>
    <w:p w:rsidR="00000000" w:rsidRPr="00A77A10" w:rsidP="00A77A10">
      <w:pPr>
        <w:pStyle w:val="ListBullet"/>
      </w:pPr>
      <w:r w:rsidRPr="00A77A10">
        <w:t>principles for undertaking a health assessment.</w:t>
      </w:r>
    </w:p>
    <w:p w:rsidR="00000000" w:rsidRPr="00A77A10" w:rsidP="00A77A10">
      <w:pPr>
        <w:pStyle w:val="ListBullet"/>
      </w:pPr>
      <w:r w:rsidRPr="00A77A10">
        <w:t>signs, symptoms and response to a deteriorating person.</w:t>
      </w:r>
    </w:p>
    <w:p w:rsidR="00000000" w:rsidRPr="00A77A10" w:rsidP="00A77A10">
      <w:pPr>
        <w:pStyle w:val="ListBullet"/>
      </w:pPr>
      <w:r w:rsidRPr="00A77A10">
        <w:t>how and when to report per</w:t>
      </w:r>
      <w:r w:rsidRPr="00A77A10">
        <w:t>son’s deterioration.</w:t>
      </w:r>
    </w:p>
    <w:p w:rsidR="00000000" w:rsidRPr="00A77A10" w:rsidP="00A77A10">
      <w:pPr>
        <w:pStyle w:val="ListBullet"/>
      </w:pPr>
      <w:r w:rsidRPr="00A77A10">
        <w:t>wellness approach to health, including physiology and psychosocial aspects.</w:t>
      </w:r>
    </w:p>
    <w:p w:rsidR="00000000" w:rsidRPr="00A77A10" w:rsidP="00A77A10">
      <w:pPr>
        <w:pStyle w:val="ListBullet"/>
      </w:pPr>
      <w:r w:rsidRPr="00A77A10">
        <w:t>variations in health needs and activities of daily living across a person’s lifespan.</w:t>
      </w:r>
    </w:p>
    <w:p w:rsidR="00000000" w:rsidRPr="00A77A10" w:rsidP="00A77A10">
      <w:pPr>
        <w:pStyle w:val="AllowPageBreak"/>
      </w:pPr>
    </w:p>
    <w:p w:rsidR="00000000" w:rsidRPr="00A77A10" w:rsidP="00A77A10">
      <w:pPr>
        <w:pStyle w:val="Heading1"/>
      </w:pPr>
      <w:bookmarkStart w:id="4" w:name="O_1200332"/>
      <w:bookmarkEnd w:id="4"/>
      <w:r w:rsidRPr="00A77A10">
        <w:t>Assessment Conditions</w:t>
      </w:r>
    </w:p>
    <w:p w:rsidR="00000000" w:rsidRPr="00A77A10" w:rsidP="005468F4">
      <w:pPr>
        <w:pStyle w:val="BodyText"/>
      </w:pPr>
      <w:r w:rsidRPr="00A77A10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A77A10">
        <w:t xml:space="preserve">ved program of study’ by the Nursing and Midwifery Board of Australia (NMBA) in accordance with the Enrolled Nurse Accreditation Standards. </w:t>
      </w:r>
    </w:p>
    <w:p w:rsidR="00000000" w:rsidRPr="00A77A10" w:rsidP="005468F4">
      <w:pPr>
        <w:pStyle w:val="BodyText"/>
      </w:pPr>
      <w:r w:rsidRPr="00A77A10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896B46">
        <w:rPr>
          <w:rStyle w:val="Hyperlink"/>
        </w:rPr>
        <w:t>https://www.ahpra.gov.au</w:t>
      </w:r>
      <w:r>
        <w:fldChar w:fldCharType="end"/>
      </w:r>
      <w:r w:rsidRPr="00A77A10">
        <w:t xml:space="preserve">.  </w:t>
      </w:r>
    </w:p>
    <w:p w:rsidR="00000000" w:rsidRPr="00A77A10" w:rsidP="005468F4">
      <w:pPr>
        <w:pStyle w:val="BodyText"/>
      </w:pPr>
      <w:r w:rsidRPr="00A77A10">
        <w:t>Skills must be demonstrated in the workplace or in a simulated en</w:t>
      </w:r>
      <w:r w:rsidRPr="00A77A10">
        <w:t>vironment as specified in the performance evidence that model industry operating conditions including access to real people for simulations and scenarios in enrolled nursing work.</w:t>
      </w:r>
    </w:p>
    <w:p w:rsidR="00000000" w:rsidRPr="00A77A10" w:rsidP="005468F4">
      <w:pPr>
        <w:pStyle w:val="BodyText"/>
      </w:pPr>
      <w:r w:rsidRPr="00A77A10">
        <w:t xml:space="preserve">Assessors must satisfy the Standards for Registered Training Organisations’ </w:t>
      </w:r>
      <w:r w:rsidRPr="00A77A10">
        <w:t>requirements for assessors.</w:t>
      </w:r>
    </w:p>
    <w:p w:rsidR="00000000" w:rsidRPr="00A77A10" w:rsidP="005468F4">
      <w:pPr>
        <w:pStyle w:val="BodyText"/>
      </w:pPr>
      <w:r w:rsidRPr="00A77A10">
        <w:t>Assessors must also hold current registration as a registered nurse with the Nursing and Midwifery Board of Australia (NMBA).</w:t>
      </w:r>
    </w:p>
    <w:p w:rsidR="00000000" w:rsidRPr="00A77A10" w:rsidP="00A77A10">
      <w:pPr>
        <w:pStyle w:val="Heading1"/>
      </w:pPr>
      <w:bookmarkStart w:id="5" w:name="O_1200346"/>
      <w:bookmarkEnd w:id="5"/>
      <w:r w:rsidRPr="00A77A10">
        <w:t>Links</w:t>
      </w:r>
    </w:p>
    <w:p w:rsidR="00000000" w:rsidRPr="00A77A10" w:rsidP="005468F4">
      <w:pPr>
        <w:pStyle w:val="BodyText"/>
      </w:pPr>
      <w:r w:rsidRPr="00A77A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96B4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77A10" w:rsidP="00A77A10"/>
    <w:sectPr w:rsidSect="00A77A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10" w:rsidRPr="005468F4" w:rsidP="005468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F4" w:rsidP="00A77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8F4" w:rsidP="00A77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68F4" w:rsidP="00A77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A10" w:rsidRPr="005468F4" w:rsidP="005468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8F4" w:rsidRPr="002D2AF8" w:rsidP="00A77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HLTENN037 Perform clinical assessment and contribute to planning nursing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468F4" w:rsidP="00A77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5ED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44A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FEF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A10"/>
  </w:style>
  <w:style w:type="character" w:customStyle="1" w:styleId="Heading1Char">
    <w:name w:val="Heading 1 Char"/>
    <w:basedOn w:val="DefaultParagraphFont"/>
    <w:link w:val="Heading1"/>
    <w:rsid w:val="00A77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A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A10"/>
    <w:rPr>
      <w:b/>
      <w:spacing w:val="0"/>
    </w:rPr>
  </w:style>
  <w:style w:type="paragraph" w:styleId="ListBullet2">
    <w:name w:val="List Bullet 2"/>
    <w:basedOn w:val="List2"/>
    <w:rsid w:val="00A77A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A10"/>
    <w:rPr>
      <w:i/>
    </w:rPr>
  </w:style>
  <w:style w:type="paragraph" w:styleId="Caption">
    <w:name w:val="caption"/>
    <w:basedOn w:val="BodyText"/>
    <w:next w:val="Normal"/>
    <w:qFormat/>
    <w:rsid w:val="00A77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A10"/>
  </w:style>
  <w:style w:type="paragraph" w:styleId="TableofFigures">
    <w:name w:val="table of figures"/>
    <w:basedOn w:val="Normal"/>
    <w:next w:val="Normal"/>
    <w:semiHidden/>
    <w:rsid w:val="00A77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A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A10"/>
    <w:rPr>
      <w:rFonts w:ascii="Wingdings" w:hAnsi="Wingdings"/>
    </w:rPr>
  </w:style>
  <w:style w:type="paragraph" w:customStyle="1" w:styleId="TableHeading">
    <w:name w:val="Table Heading"/>
    <w:basedOn w:val="HeadingBase"/>
    <w:rsid w:val="00A77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A10"/>
    <w:rPr>
      <w:color w:val="0033CC"/>
      <w:u w:val="none"/>
    </w:rPr>
  </w:style>
  <w:style w:type="paragraph" w:customStyle="1" w:styleId="BodyTextRight">
    <w:name w:val="Body Text Right"/>
    <w:basedOn w:val="BodyText"/>
    <w:rsid w:val="00A77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A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A10"/>
    <w:rPr>
      <w:sz w:val="32"/>
    </w:rPr>
  </w:style>
  <w:style w:type="paragraph" w:customStyle="1" w:styleId="HeadingProcedure">
    <w:name w:val="Heading Procedure"/>
    <w:basedOn w:val="HeadingBase"/>
    <w:next w:val="Normal"/>
    <w:rsid w:val="00A77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A10"/>
    <w:pPr>
      <w:spacing w:before="60" w:after="60"/>
    </w:pPr>
  </w:style>
  <w:style w:type="paragraph" w:styleId="ListContinue">
    <w:name w:val="List Continue"/>
    <w:basedOn w:val="List"/>
    <w:rsid w:val="00A77A10"/>
    <w:pPr>
      <w:ind w:firstLine="0"/>
    </w:pPr>
  </w:style>
  <w:style w:type="paragraph" w:customStyle="1" w:styleId="ListNote">
    <w:name w:val="List Note"/>
    <w:basedOn w:val="List"/>
    <w:rsid w:val="00A77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A10"/>
    <w:rPr>
      <w:rFonts w:ascii="Courier New" w:hAnsi="Courier New"/>
    </w:rPr>
  </w:style>
  <w:style w:type="paragraph" w:customStyle="1" w:styleId="NoteBullet">
    <w:name w:val="Note Bullet"/>
    <w:basedOn w:val="Note"/>
    <w:rsid w:val="00A77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A10"/>
    <w:rPr>
      <w:b/>
      <w:smallCaps/>
    </w:rPr>
  </w:style>
  <w:style w:type="paragraph" w:customStyle="1" w:styleId="TableListNumber">
    <w:name w:val="Table List Number"/>
    <w:basedOn w:val="ListNumber"/>
    <w:rsid w:val="00A77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A10"/>
    <w:pPr>
      <w:numPr>
        <w:numId w:val="9"/>
      </w:numPr>
    </w:pPr>
  </w:style>
  <w:style w:type="paragraph" w:customStyle="1" w:styleId="ListAlpha2">
    <w:name w:val="List Alpha 2"/>
    <w:basedOn w:val="List2"/>
    <w:rsid w:val="00A77A10"/>
    <w:pPr>
      <w:numPr>
        <w:numId w:val="8"/>
      </w:numPr>
    </w:pPr>
  </w:style>
  <w:style w:type="paragraph" w:styleId="List2">
    <w:name w:val="List 2"/>
    <w:basedOn w:val="BodyText"/>
    <w:rsid w:val="00A77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A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A10"/>
    <w:pPr>
      <w:numPr>
        <w:numId w:val="4"/>
      </w:numPr>
    </w:pPr>
  </w:style>
  <w:style w:type="paragraph" w:styleId="ListContinue2">
    <w:name w:val="List Continue 2"/>
    <w:basedOn w:val="List2"/>
    <w:rsid w:val="00A77A10"/>
    <w:pPr>
      <w:ind w:firstLine="0"/>
    </w:pPr>
  </w:style>
  <w:style w:type="paragraph" w:styleId="ListContinue3">
    <w:name w:val="List Continue 3"/>
    <w:basedOn w:val="List3"/>
    <w:rsid w:val="00A77A10"/>
    <w:pPr>
      <w:ind w:left="1021" w:firstLine="0"/>
    </w:pPr>
  </w:style>
  <w:style w:type="paragraph" w:styleId="ListContinue4">
    <w:name w:val="List Continue 4"/>
    <w:basedOn w:val="List4"/>
    <w:rsid w:val="00A77A10"/>
    <w:pPr>
      <w:ind w:firstLine="0"/>
    </w:pPr>
  </w:style>
  <w:style w:type="paragraph" w:styleId="ListContinue5">
    <w:name w:val="List Continue 5"/>
    <w:basedOn w:val="List5"/>
    <w:rsid w:val="00A77A10"/>
    <w:pPr>
      <w:ind w:firstLine="0"/>
    </w:pPr>
  </w:style>
  <w:style w:type="paragraph" w:styleId="ListNumber3">
    <w:name w:val="List Number 3"/>
    <w:basedOn w:val="List3"/>
    <w:rsid w:val="00A77A10"/>
    <w:pPr>
      <w:numPr>
        <w:numId w:val="5"/>
      </w:numPr>
    </w:pPr>
  </w:style>
  <w:style w:type="paragraph" w:styleId="ListNumber4">
    <w:name w:val="List Number 4"/>
    <w:basedOn w:val="List4"/>
    <w:rsid w:val="00A77A10"/>
    <w:pPr>
      <w:numPr>
        <w:numId w:val="6"/>
      </w:numPr>
    </w:pPr>
  </w:style>
  <w:style w:type="paragraph" w:styleId="ListNumber5">
    <w:name w:val="List Number 5"/>
    <w:basedOn w:val="List5"/>
    <w:rsid w:val="00A77A10"/>
    <w:pPr>
      <w:numPr>
        <w:numId w:val="7"/>
      </w:numPr>
    </w:pPr>
  </w:style>
  <w:style w:type="paragraph" w:styleId="BlockText">
    <w:name w:val="Block Text"/>
    <w:basedOn w:val="Normal"/>
    <w:rsid w:val="00A77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A10"/>
    <w:rPr>
      <w:sz w:val="16"/>
      <w:vertAlign w:val="superscript"/>
    </w:rPr>
  </w:style>
  <w:style w:type="character" w:customStyle="1" w:styleId="Symbols">
    <w:name w:val="Symbols"/>
    <w:basedOn w:val="DefaultParagraphFont"/>
    <w:rsid w:val="00A77A10"/>
    <w:rPr>
      <w:rFonts w:ascii="Symbol" w:hAnsi="Symbol"/>
    </w:rPr>
  </w:style>
  <w:style w:type="character" w:customStyle="1" w:styleId="MenuOptions">
    <w:name w:val="Menu Options"/>
    <w:basedOn w:val="DefaultParagraphFont"/>
    <w:rsid w:val="00A77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A10"/>
    <w:rPr>
      <w:b/>
    </w:rPr>
  </w:style>
  <w:style w:type="character" w:customStyle="1" w:styleId="Underlined">
    <w:name w:val="Underlined"/>
    <w:basedOn w:val="DefaultParagraphFont"/>
    <w:rsid w:val="00A77A10"/>
    <w:rPr>
      <w:u w:val="single"/>
    </w:rPr>
  </w:style>
  <w:style w:type="paragraph" w:customStyle="1" w:styleId="TableBodyTextRight">
    <w:name w:val="Table Body Text Right"/>
    <w:basedOn w:val="TableBodyText"/>
    <w:rsid w:val="00A77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A10"/>
    <w:rPr>
      <w:sz w:val="18"/>
    </w:rPr>
  </w:style>
  <w:style w:type="paragraph" w:customStyle="1" w:styleId="BodySmallRight">
    <w:name w:val="Body Small Right"/>
    <w:basedOn w:val="BodyTextRight"/>
    <w:rsid w:val="00A77A10"/>
    <w:rPr>
      <w:sz w:val="18"/>
      <w:szCs w:val="18"/>
    </w:rPr>
  </w:style>
  <w:style w:type="paragraph" w:customStyle="1" w:styleId="MarginEdition">
    <w:name w:val="Margin Edition"/>
    <w:basedOn w:val="MarginNote"/>
    <w:rsid w:val="00A77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A10"/>
    <w:rPr>
      <w:sz w:val="2"/>
      <w:szCs w:val="2"/>
    </w:rPr>
  </w:style>
  <w:style w:type="character" w:customStyle="1" w:styleId="Small">
    <w:name w:val="Small"/>
    <w:basedOn w:val="DefaultParagraphFont"/>
    <w:rsid w:val="00A77A10"/>
    <w:rPr>
      <w:sz w:val="16"/>
    </w:rPr>
  </w:style>
  <w:style w:type="paragraph" w:customStyle="1" w:styleId="WideTable">
    <w:name w:val="Wide Table"/>
    <w:basedOn w:val="Normal"/>
    <w:rsid w:val="00A77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A10"/>
  </w:style>
  <w:style w:type="paragraph" w:styleId="Quote">
    <w:name w:val="Quote"/>
    <w:basedOn w:val="Heading1"/>
    <w:link w:val="QuoteChar"/>
    <w:qFormat/>
    <w:rsid w:val="00A77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A10"/>
    <w:pPr>
      <w:pageBreakBefore/>
    </w:pPr>
  </w:style>
  <w:style w:type="paragraph" w:customStyle="1" w:styleId="Border">
    <w:name w:val="Border"/>
    <w:basedOn w:val="Normal"/>
    <w:qFormat/>
    <w:rsid w:val="00A77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A10"/>
    <w:rPr>
      <w:u w:val="single"/>
    </w:rPr>
  </w:style>
  <w:style w:type="character" w:customStyle="1" w:styleId="BoldandItalics">
    <w:name w:val="Bold and Italics"/>
    <w:qFormat/>
    <w:rsid w:val="00A77A10"/>
    <w:rPr>
      <w:b/>
      <w:i/>
      <w:u w:val="none"/>
    </w:rPr>
  </w:style>
  <w:style w:type="paragraph" w:styleId="BalloonText">
    <w:name w:val="Balloon Text"/>
    <w:basedOn w:val="Normal"/>
    <w:link w:val="BalloonTextChar"/>
    <w:rsid w:val="00A77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A10"/>
    <w:pPr>
      <w:spacing w:before="0" w:after="0"/>
    </w:pPr>
  </w:style>
  <w:style w:type="paragraph" w:customStyle="1" w:styleId="BodyTextBold">
    <w:name w:val="Body Text Bold"/>
    <w:basedOn w:val="BodyText"/>
    <w:qFormat/>
    <w:rsid w:val="00A77A10"/>
    <w:rPr>
      <w:b/>
    </w:rPr>
  </w:style>
  <w:style w:type="character" w:styleId="Hyperlink">
    <w:name w:val="Hyperlink"/>
    <w:basedOn w:val="DefaultParagraphFont"/>
    <w:uiPriority w:val="99"/>
    <w:unhideWhenUsed/>
    <w:rsid w:val="005468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3586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HLTENN037 Perform clinical assessment and contribute to planning nursing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