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A2F" w:rsidP="00682A2F">
      <w:pPr>
        <w:pStyle w:val="Title"/>
      </w:pPr>
      <w:r>
        <w:fldChar w:fldCharType="begin"/>
      </w:r>
      <w:r>
        <w:instrText xml:space="preserve"> TITLE   \* MERGEFORMAT </w:instrText>
      </w:r>
      <w:r>
        <w:fldChar w:fldCharType="separate"/>
      </w:r>
      <w:r>
        <w:t>Assessment Requirements for HLTENN024 Apply nursing practice in the cardiovascular care setting</w:t>
      </w:r>
      <w:r>
        <w:fldChar w:fldCharType="end"/>
      </w:r>
    </w:p>
    <w:p w:rsidR="00682A2F" w:rsidP="00682A2F">
      <w:pPr>
        <w:pStyle w:val="Version"/>
        <w:sectPr w:rsidSect="008C1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306" w:rsidP="008C1306">
      <w:pPr>
        <w:pStyle w:val="SuperHeading"/>
      </w:pPr>
      <w:r w:rsidRPr="008C1306">
        <w:t>Assessment Requirements for HLTENN024 Apply nursing practice in the cardiovascular care setting</w:t>
      </w:r>
    </w:p>
    <w:p w:rsidR="00000000" w:rsidRPr="008C1306" w:rsidP="008C1306">
      <w:pPr>
        <w:pStyle w:val="Heading1"/>
      </w:pPr>
      <w:bookmarkStart w:id="1" w:name="O_821090"/>
      <w:bookmarkEnd w:id="1"/>
      <w:r w:rsidRPr="008C1306">
        <w:t>Modification History</w:t>
      </w:r>
    </w:p>
    <w:tbl>
      <w:tblPr>
        <w:tblW w:w="0" w:type="auto"/>
        <w:tblLayout w:type="fixed"/>
        <w:tblCellMar>
          <w:left w:w="62" w:type="dxa"/>
          <w:right w:w="62" w:type="dxa"/>
        </w:tblCellMar>
        <w:tblLook w:val="0000"/>
      </w:tblPr>
      <w:tblGrid>
        <w:gridCol w:w="2790"/>
        <w:gridCol w:w="6344"/>
      </w:tblGrid>
      <w:tr w:rsidTr="008C1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06" w:rsidP="008C1306">
            <w:pPr>
              <w:pStyle w:val="BodyText"/>
            </w:pPr>
            <w:r w:rsidRPr="008C130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06">
            <w:pPr>
              <w:pStyle w:val="BodyText"/>
              <w:rPr>
                <w:lang w:val="en-NZ"/>
              </w:rPr>
            </w:pPr>
            <w:r w:rsidRPr="008C1306">
              <w:rPr>
                <w:rStyle w:val="SpecialBold"/>
              </w:rPr>
              <w:t>Comments</w:t>
            </w:r>
          </w:p>
        </w:tc>
      </w:tr>
      <w:tr w:rsidTr="008C1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06">
            <w:pPr>
              <w:pStyle w:val="BodyText"/>
              <w:rPr>
                <w:lang w:val="en-NZ"/>
              </w:rPr>
            </w:pPr>
            <w:r w:rsidRPr="008C130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06" w:rsidP="008C1306">
            <w:pPr>
              <w:pStyle w:val="BodyText"/>
            </w:pPr>
            <w:r w:rsidRPr="008C1306">
              <w:t xml:space="preserve">This version was released in </w:t>
            </w:r>
            <w:r w:rsidRPr="008C1306">
              <w:rPr>
                <w:rStyle w:val="Emphasis"/>
              </w:rPr>
              <w:t>HLT Health Training Package release 3.0</w:t>
            </w:r>
            <w:r w:rsidRPr="008C1306">
              <w:t xml:space="preserve"> and meets the requirements of the 2012 Standards for Training Packages.</w:t>
            </w:r>
          </w:p>
          <w:p w:rsidR="00000000" w:rsidRPr="008C1306" w:rsidP="008C1306">
            <w:pPr>
              <w:pStyle w:val="BodyText"/>
            </w:pPr>
            <w:r w:rsidRPr="008C1306">
              <w:t>Significant changes to the elements and performance criteria. New evidence requirements for assessment, including volume and frequency requirements. Minimal change to knowledge eviden</w:t>
            </w:r>
            <w:r w:rsidRPr="008C1306">
              <w:t>ce.</w:t>
            </w:r>
          </w:p>
          <w:p w:rsidR="00000000" w:rsidRPr="008C1306" w:rsidP="008C1306">
            <w:pPr>
              <w:pStyle w:val="BodyText"/>
            </w:pPr>
            <w:r w:rsidRPr="008C1306">
              <w:t>Supersedes HLTEN610B</w:t>
            </w:r>
          </w:p>
        </w:tc>
      </w:tr>
    </w:tbl>
    <w:p w:rsidR="00000000" w:rsidRPr="008C1306" w:rsidP="008C1306">
      <w:pPr>
        <w:pStyle w:val="BodyText"/>
      </w:pPr>
    </w:p>
    <w:p w:rsidR="00000000" w:rsidRPr="008C1306" w:rsidP="008C1306">
      <w:pPr>
        <w:pStyle w:val="AllowPageBreak"/>
      </w:pPr>
    </w:p>
    <w:p w:rsidR="00000000" w:rsidRPr="008C1306" w:rsidP="008C1306">
      <w:pPr>
        <w:pStyle w:val="Heading1"/>
      </w:pPr>
      <w:bookmarkStart w:id="2" w:name="O_821091"/>
      <w:bookmarkEnd w:id="2"/>
      <w:r w:rsidRPr="008C1306">
        <w:t>Performance Evidence</w:t>
      </w:r>
    </w:p>
    <w:p w:rsidR="00000000" w:rsidRPr="008C1306" w:rsidP="00682A2F">
      <w:pPr>
        <w:pStyle w:val="BodyText"/>
      </w:pPr>
      <w:r w:rsidRPr="008C1306">
        <w:t>The candidate must show evidence of the ability to complete tasks outlined in elements and performance criteria of this unit, manage tasks and manage contingencies in the context of the job r</w:t>
      </w:r>
      <w:r w:rsidRPr="008C1306">
        <w:t>ole. There must be evidence that the candidate has:</w:t>
      </w:r>
    </w:p>
    <w:p w:rsidR="00000000" w:rsidRPr="008C1306" w:rsidP="008C1306">
      <w:pPr>
        <w:pStyle w:val="ListBullet"/>
      </w:pPr>
      <w:r w:rsidRPr="008C1306">
        <w:t>undertaken nursing work in accordance with Nursing and Midwifery Board of Australia professional practice standards, codes and guidelines</w:t>
      </w:r>
    </w:p>
    <w:p w:rsidR="00000000" w:rsidRPr="008C1306" w:rsidP="008C1306">
      <w:pPr>
        <w:pStyle w:val="ListBullet"/>
      </w:pPr>
      <w:r w:rsidRPr="008C1306">
        <w:t>performed the following nursing care interventions on no fewer th</w:t>
      </w:r>
      <w:r w:rsidRPr="008C1306">
        <w:t>an 3 people with a cardiovascular condition in the workplace:</w:t>
      </w:r>
    </w:p>
    <w:p w:rsidR="00000000" w:rsidRPr="008C1306" w:rsidP="008C1306">
      <w:pPr>
        <w:pStyle w:val="ListBullet2"/>
      </w:pPr>
      <w:r w:rsidRPr="008C1306">
        <w:t xml:space="preserve">administration of (non-invasive) continuous positive airway pressure (CPAP) and bilevel positive airway pressure (BiPAP) </w:t>
      </w:r>
    </w:p>
    <w:p w:rsidR="00000000" w:rsidRPr="008C1306" w:rsidP="008C1306">
      <w:pPr>
        <w:pStyle w:val="ListBullet2"/>
      </w:pPr>
      <w:r w:rsidRPr="008C1306">
        <w:t xml:space="preserve">peripherally inserted central catheter (PICC)/midline management </w:t>
      </w:r>
    </w:p>
    <w:p w:rsidR="00000000" w:rsidRPr="008C1306" w:rsidP="008C1306">
      <w:pPr>
        <w:pStyle w:val="ListBullet2"/>
      </w:pPr>
      <w:r w:rsidRPr="008C1306">
        <w:t>monitoring of electrocardiograph readings for abnormalities</w:t>
      </w:r>
    </w:p>
    <w:p w:rsidR="00000000" w:rsidRPr="008C1306" w:rsidP="008C1306">
      <w:pPr>
        <w:pStyle w:val="ListBullet2"/>
      </w:pPr>
      <w:r w:rsidRPr="008C1306">
        <w:t>under water seal drain management</w:t>
      </w:r>
    </w:p>
    <w:p w:rsidR="00000000" w:rsidRPr="008C1306" w:rsidP="008C1306">
      <w:pPr>
        <w:pStyle w:val="ListBullet"/>
      </w:pPr>
      <w:r w:rsidRPr="008C1306">
        <w:t>in undertaking the above, used advanced communication skills and medical terminology to communicate effectively with the person, family or carer, and the registe</w:t>
      </w:r>
      <w:r w:rsidRPr="008C1306">
        <w:t>red nurse and other health professionals to record or report the person’s outcomes.</w:t>
      </w:r>
    </w:p>
    <w:p w:rsidR="00000000" w:rsidRPr="008C1306" w:rsidP="008C1306">
      <w:pPr>
        <w:pStyle w:val="AllowPageBreak"/>
      </w:pPr>
    </w:p>
    <w:p w:rsidR="00000000" w:rsidRPr="008C1306" w:rsidP="008C1306">
      <w:pPr>
        <w:pStyle w:val="Heading1"/>
      </w:pPr>
      <w:bookmarkStart w:id="3" w:name="O_821092"/>
      <w:bookmarkEnd w:id="3"/>
      <w:r w:rsidRPr="008C1306">
        <w:t>Knowledge Evidence</w:t>
      </w:r>
    </w:p>
    <w:p w:rsidR="00000000" w:rsidRPr="008C1306" w:rsidP="00682A2F">
      <w:pPr>
        <w:pStyle w:val="BodyText"/>
      </w:pPr>
      <w:r w:rsidRPr="008C1306">
        <w:t>The candidate must be able to demonstrate essential knowledge required to effectively complete tasks outlined in elements and performanc</w:t>
      </w:r>
      <w:r w:rsidRPr="008C1306">
        <w:t xml:space="preserve">e criteria of this unit, manage tasks and manage contingencies in the context of the work role. This includes knowledge of: </w:t>
      </w:r>
    </w:p>
    <w:p w:rsidR="00000000" w:rsidRPr="008C1306" w:rsidP="008C1306">
      <w:pPr>
        <w:pStyle w:val="ListBullet"/>
      </w:pPr>
      <w:r w:rsidRPr="008C1306">
        <w:t>the following issues and manifestation, sufficiently in-depth and specialised to make considered judgements and to make profession</w:t>
      </w:r>
      <w:r w:rsidRPr="008C1306">
        <w:t>al contributions to cardiovascular nursing care:</w:t>
      </w:r>
    </w:p>
    <w:p w:rsidR="00000000" w:rsidRPr="008C1306" w:rsidP="008C1306">
      <w:pPr>
        <w:pStyle w:val="ListBullet2"/>
      </w:pPr>
      <w:r w:rsidRPr="008C1306">
        <w:t xml:space="preserve">physiology and pathophysiology related to cardiovascular issues </w:t>
      </w:r>
    </w:p>
    <w:p w:rsidR="00000000" w:rsidRPr="008C1306" w:rsidP="008C1306">
      <w:pPr>
        <w:pStyle w:val="ListBullet2"/>
      </w:pPr>
      <w:r w:rsidRPr="008C1306">
        <w:t>emergency care of cardiovascular issues (knowledge and execution)</w:t>
      </w:r>
    </w:p>
    <w:p w:rsidR="00000000" w:rsidRPr="008C1306" w:rsidP="008C1306">
      <w:pPr>
        <w:pStyle w:val="ListBullet2"/>
      </w:pPr>
      <w:r w:rsidRPr="008C1306">
        <w:t>clinical manifestations of chronic disease states</w:t>
      </w:r>
    </w:p>
    <w:p w:rsidR="00000000" w:rsidRPr="008C1306" w:rsidP="008C1306">
      <w:pPr>
        <w:pStyle w:val="ListBullet"/>
      </w:pPr>
      <w:r w:rsidRPr="008C1306">
        <w:t>cardiovascular condition</w:t>
      </w:r>
      <w:r w:rsidRPr="008C1306">
        <w:t>s including:</w:t>
      </w:r>
    </w:p>
    <w:p w:rsidR="00000000" w:rsidRPr="008C1306" w:rsidP="008C1306">
      <w:pPr>
        <w:pStyle w:val="ListBullet2"/>
      </w:pPr>
      <w:r w:rsidRPr="008C1306">
        <w:t>congestive heart failure</w:t>
      </w:r>
    </w:p>
    <w:p w:rsidR="00000000" w:rsidRPr="008C1306" w:rsidP="008C1306">
      <w:pPr>
        <w:pStyle w:val="ListBullet2"/>
      </w:pPr>
      <w:r w:rsidRPr="008C1306">
        <w:t>acute pulmonary oedema</w:t>
      </w:r>
    </w:p>
    <w:p w:rsidR="00000000" w:rsidRPr="008C1306" w:rsidP="008C1306">
      <w:pPr>
        <w:pStyle w:val="ListBullet2"/>
      </w:pPr>
      <w:r w:rsidRPr="008C1306">
        <w:t>pulmonary embolism</w:t>
      </w:r>
    </w:p>
    <w:p w:rsidR="00000000" w:rsidRPr="008C1306" w:rsidP="008C1306">
      <w:pPr>
        <w:pStyle w:val="ListBullet2"/>
      </w:pPr>
      <w:r w:rsidRPr="008C1306">
        <w:t>arrhythmia:</w:t>
      </w:r>
    </w:p>
    <w:p w:rsidR="00000000" w:rsidRPr="008C1306" w:rsidP="008C1306">
      <w:pPr>
        <w:pStyle w:val="ListBullet3"/>
      </w:pPr>
      <w:r w:rsidRPr="008C1306">
        <w:t>ventricular tachycardia</w:t>
      </w:r>
    </w:p>
    <w:p w:rsidR="00000000" w:rsidRPr="008C1306" w:rsidP="008C1306">
      <w:pPr>
        <w:pStyle w:val="ListBullet3"/>
      </w:pPr>
      <w:r w:rsidRPr="008C1306">
        <w:t>ventricular fibrillation</w:t>
      </w:r>
    </w:p>
    <w:p w:rsidR="00000000" w:rsidRPr="008C1306" w:rsidP="008C1306">
      <w:pPr>
        <w:pStyle w:val="ListBullet3"/>
      </w:pPr>
      <w:r w:rsidRPr="008C1306">
        <w:t>asystole</w:t>
      </w:r>
    </w:p>
    <w:p w:rsidR="00000000" w:rsidRPr="008C1306" w:rsidP="008C1306">
      <w:pPr>
        <w:pStyle w:val="ListBullet3"/>
      </w:pPr>
      <w:r w:rsidRPr="008C1306">
        <w:t>symptomatic brady and tachycardia</w:t>
      </w:r>
    </w:p>
    <w:p w:rsidR="00000000" w:rsidRPr="008C1306" w:rsidP="008C1306">
      <w:pPr>
        <w:pStyle w:val="ListBullet3"/>
      </w:pPr>
      <w:r w:rsidRPr="008C1306">
        <w:t>atrial fibrillation</w:t>
      </w:r>
    </w:p>
    <w:p w:rsidR="00000000" w:rsidRPr="008C1306" w:rsidP="008C1306">
      <w:pPr>
        <w:pStyle w:val="ListBullet2"/>
      </w:pPr>
      <w:r w:rsidRPr="008C1306">
        <w:t>congenital heart defects:</w:t>
      </w:r>
    </w:p>
    <w:p w:rsidR="00000000" w:rsidRPr="008C1306" w:rsidP="008C1306">
      <w:pPr>
        <w:pStyle w:val="ListBullet3"/>
      </w:pPr>
      <w:r w:rsidRPr="008C1306">
        <w:t>accessory pathways</w:t>
      </w:r>
    </w:p>
    <w:p w:rsidR="00000000" w:rsidRPr="008C1306" w:rsidP="008C1306">
      <w:pPr>
        <w:pStyle w:val="ListBullet3"/>
      </w:pPr>
      <w:r w:rsidRPr="008C1306">
        <w:t>septal defects</w:t>
      </w:r>
    </w:p>
    <w:p w:rsidR="00000000" w:rsidRPr="008C1306" w:rsidP="008C1306">
      <w:pPr>
        <w:pStyle w:val="ListBullet3"/>
      </w:pPr>
      <w:r w:rsidRPr="008C1306">
        <w:t>tetralogy of Fallot</w:t>
      </w:r>
    </w:p>
    <w:p w:rsidR="00000000" w:rsidRPr="008C1306" w:rsidP="008C1306">
      <w:pPr>
        <w:pStyle w:val="ListBullet3"/>
      </w:pPr>
      <w:r w:rsidRPr="008C1306">
        <w:t>dextracardia</w:t>
      </w:r>
    </w:p>
    <w:p w:rsidR="00000000" w:rsidRPr="008C1306" w:rsidP="008C1306">
      <w:pPr>
        <w:pStyle w:val="ListBullet2"/>
      </w:pPr>
      <w:r w:rsidRPr="008C1306">
        <w:t>ischaemic heart disease - angina and myocardial infarction</w:t>
      </w:r>
    </w:p>
    <w:p w:rsidR="00000000" w:rsidRPr="008C1306" w:rsidP="008C1306">
      <w:pPr>
        <w:pStyle w:val="ListBullet2"/>
      </w:pPr>
      <w:r w:rsidRPr="008C1306">
        <w:t>heart valve dysfunction</w:t>
      </w:r>
    </w:p>
    <w:p w:rsidR="00000000" w:rsidRPr="008C1306" w:rsidP="008C1306">
      <w:pPr>
        <w:pStyle w:val="ListBullet2"/>
      </w:pPr>
      <w:r w:rsidRPr="008C1306">
        <w:t>sub-acute bacterial endocarditis</w:t>
      </w:r>
    </w:p>
    <w:p w:rsidR="00000000" w:rsidRPr="008C1306" w:rsidP="008C1306">
      <w:pPr>
        <w:pStyle w:val="ListBullet2"/>
      </w:pPr>
      <w:r w:rsidRPr="008C1306">
        <w:t>pericarditis</w:t>
      </w:r>
    </w:p>
    <w:p w:rsidR="00000000" w:rsidRPr="008C1306" w:rsidP="008C1306">
      <w:pPr>
        <w:pStyle w:val="ListBullet2"/>
      </w:pPr>
      <w:r w:rsidRPr="008C1306">
        <w:t xml:space="preserve">acute chest pain </w:t>
      </w:r>
    </w:p>
    <w:p w:rsidR="00000000" w:rsidRPr="008C1306" w:rsidP="008C1306">
      <w:pPr>
        <w:pStyle w:val="ListBullet2"/>
      </w:pPr>
      <w:r w:rsidRPr="008C1306">
        <w:t>cardiomyopathy</w:t>
      </w:r>
    </w:p>
    <w:p w:rsidR="00000000" w:rsidRPr="008C1306" w:rsidP="008C1306">
      <w:pPr>
        <w:pStyle w:val="ListBullet2"/>
      </w:pPr>
      <w:r w:rsidRPr="008C1306">
        <w:t>carotid stenosis</w:t>
      </w:r>
    </w:p>
    <w:p w:rsidR="00000000" w:rsidRPr="008C1306" w:rsidP="008C1306">
      <w:pPr>
        <w:pStyle w:val="ListBullet2"/>
      </w:pPr>
      <w:r w:rsidRPr="008C1306">
        <w:t>abdominal aortic aneurysm</w:t>
      </w:r>
    </w:p>
    <w:p w:rsidR="00000000" w:rsidRPr="008C1306" w:rsidP="008C1306">
      <w:pPr>
        <w:pStyle w:val="ListBullet2"/>
      </w:pPr>
      <w:r w:rsidRPr="008C1306">
        <w:t>peripheral vascular disease</w:t>
      </w:r>
    </w:p>
    <w:p w:rsidR="00000000" w:rsidRPr="008C1306" w:rsidP="008C1306">
      <w:pPr>
        <w:pStyle w:val="ListBullet2"/>
      </w:pPr>
      <w:r w:rsidRPr="008C1306">
        <w:t>deep vein thrombosis</w:t>
      </w:r>
    </w:p>
    <w:p w:rsidR="00000000" w:rsidRPr="008C1306" w:rsidP="008C1306">
      <w:pPr>
        <w:pStyle w:val="ListBullet2"/>
      </w:pPr>
      <w:r w:rsidRPr="008C1306">
        <w:t>actual and potential problems relating to cardiovascular conditions including:</w:t>
      </w:r>
    </w:p>
    <w:p w:rsidR="00000000" w:rsidRPr="008C1306" w:rsidP="008C1306">
      <w:pPr>
        <w:pStyle w:val="ListBullet3"/>
      </w:pPr>
      <w:r w:rsidRPr="008C1306">
        <w:t>electrolyte imbalance</w:t>
      </w:r>
    </w:p>
    <w:p w:rsidR="00000000" w:rsidRPr="008C1306" w:rsidP="008C1306">
      <w:pPr>
        <w:pStyle w:val="ListBullet3"/>
      </w:pPr>
      <w:r w:rsidRPr="008C1306">
        <w:t>fluid overload</w:t>
      </w:r>
    </w:p>
    <w:p w:rsidR="00000000" w:rsidRPr="008C1306" w:rsidP="008C1306">
      <w:pPr>
        <w:pStyle w:val="ListBullet3"/>
      </w:pPr>
      <w:r w:rsidRPr="008C1306">
        <w:t>hypoxia, hypoxaemia</w:t>
      </w:r>
    </w:p>
    <w:p w:rsidR="00000000" w:rsidRPr="008C1306" w:rsidP="008C1306">
      <w:pPr>
        <w:pStyle w:val="ListBullet3"/>
      </w:pPr>
      <w:r w:rsidRPr="008C1306">
        <w:t>chest pain</w:t>
      </w:r>
    </w:p>
    <w:p w:rsidR="00000000" w:rsidRPr="008C1306" w:rsidP="008C1306">
      <w:pPr>
        <w:pStyle w:val="ListBullet3"/>
      </w:pPr>
      <w:r w:rsidRPr="008C1306">
        <w:t>structural heart damage</w:t>
      </w:r>
    </w:p>
    <w:p w:rsidR="00000000" w:rsidRPr="008C1306" w:rsidP="008C1306">
      <w:pPr>
        <w:pStyle w:val="ListBullet3"/>
      </w:pPr>
      <w:r w:rsidRPr="008C1306">
        <w:t>sepsis</w:t>
      </w:r>
    </w:p>
    <w:p w:rsidR="00000000" w:rsidRPr="008C1306" w:rsidP="008C1306">
      <w:pPr>
        <w:pStyle w:val="ListBullet3"/>
      </w:pPr>
      <w:r w:rsidRPr="008C1306">
        <w:t>haemorrhage</w:t>
      </w:r>
    </w:p>
    <w:p w:rsidR="00000000" w:rsidRPr="008C1306" w:rsidP="008C1306">
      <w:pPr>
        <w:pStyle w:val="ListBullet3"/>
      </w:pPr>
      <w:r w:rsidRPr="008C1306">
        <w:t>neurovascular damage including cerebral vascular accident</w:t>
      </w:r>
    </w:p>
    <w:p w:rsidR="00000000" w:rsidRPr="008C1306" w:rsidP="008C1306">
      <w:pPr>
        <w:pStyle w:val="ListBullet3"/>
      </w:pPr>
      <w:r w:rsidRPr="008C1306">
        <w:t>vessel occlusion</w:t>
      </w:r>
    </w:p>
    <w:p w:rsidR="00000000" w:rsidRPr="008C1306" w:rsidP="008C1306">
      <w:pPr>
        <w:pStyle w:val="ListBullet3"/>
      </w:pPr>
      <w:r w:rsidRPr="008C1306">
        <w:t>pneumothorax</w:t>
      </w:r>
    </w:p>
    <w:p w:rsidR="00000000" w:rsidRPr="008C1306" w:rsidP="008C1306">
      <w:pPr>
        <w:pStyle w:val="ListBullet3"/>
      </w:pPr>
      <w:r w:rsidRPr="008C1306">
        <w:t>pacemaker lead displacement</w:t>
      </w:r>
    </w:p>
    <w:p w:rsidR="00000000" w:rsidRPr="008C1306" w:rsidP="008C1306">
      <w:pPr>
        <w:pStyle w:val="ListBullet3"/>
      </w:pPr>
      <w:r w:rsidRPr="008C1306">
        <w:t>arrhythmia</w:t>
      </w:r>
    </w:p>
    <w:p w:rsidR="00000000" w:rsidRPr="008C1306" w:rsidP="008C1306">
      <w:pPr>
        <w:pStyle w:val="ListBullet3"/>
      </w:pPr>
      <w:r w:rsidRPr="008C1306">
        <w:t>exercise intolerance</w:t>
      </w:r>
    </w:p>
    <w:p w:rsidR="00000000" w:rsidRPr="008C1306" w:rsidP="008C1306">
      <w:pPr>
        <w:pStyle w:val="ListBullet2"/>
      </w:pPr>
      <w:r w:rsidRPr="008C1306">
        <w:t>cardiovascular procedures including:</w:t>
      </w:r>
    </w:p>
    <w:p w:rsidR="00000000" w:rsidRPr="008C1306" w:rsidP="008C1306">
      <w:pPr>
        <w:pStyle w:val="ListBullet3"/>
      </w:pPr>
      <w:r w:rsidRPr="008C1306">
        <w:t>cardiac stents</w:t>
      </w:r>
    </w:p>
    <w:p w:rsidR="00000000" w:rsidRPr="008C1306" w:rsidP="008C1306">
      <w:pPr>
        <w:pStyle w:val="ListBullet3"/>
      </w:pPr>
      <w:r w:rsidRPr="008C1306">
        <w:t>percutaneous transluminal coronary angioplasty</w:t>
      </w:r>
      <w:r w:rsidRPr="008C1306">
        <w:rPr>
          <w:rStyle w:val="SpecialBold"/>
        </w:rPr>
        <w:t xml:space="preserve"> (</w:t>
      </w:r>
      <w:r w:rsidRPr="008C1306">
        <w:t xml:space="preserve">PTCA) </w:t>
      </w:r>
      <w:r w:rsidRPr="008C1306">
        <w:t>with or without stent</w:t>
      </w:r>
    </w:p>
    <w:p w:rsidR="00000000" w:rsidRPr="008C1306" w:rsidP="008C1306">
      <w:pPr>
        <w:pStyle w:val="ListBullet3"/>
      </w:pPr>
      <w:r w:rsidRPr="008C1306">
        <w:t>pacemaker (temporary or permanent)</w:t>
      </w:r>
    </w:p>
    <w:p w:rsidR="00000000" w:rsidRPr="008C1306" w:rsidP="008C1306">
      <w:pPr>
        <w:pStyle w:val="ListBullet3"/>
      </w:pPr>
      <w:r w:rsidRPr="008C1306">
        <w:t>cardiac access vascular graft (CAVG)</w:t>
      </w:r>
    </w:p>
    <w:p w:rsidR="00000000" w:rsidRPr="008C1306" w:rsidP="008C1306">
      <w:pPr>
        <w:pStyle w:val="ListBullet3"/>
      </w:pPr>
      <w:r w:rsidRPr="008C1306">
        <w:t>mitral valvotomy</w:t>
      </w:r>
    </w:p>
    <w:p w:rsidR="00000000" w:rsidRPr="008C1306" w:rsidP="008C1306">
      <w:pPr>
        <w:pStyle w:val="ListBullet3"/>
      </w:pPr>
      <w:r w:rsidRPr="008C1306">
        <w:t>electrophysiology studies, with or without ablation</w:t>
      </w:r>
    </w:p>
    <w:p w:rsidR="00000000" w:rsidRPr="008C1306" w:rsidP="008C1306">
      <w:pPr>
        <w:pStyle w:val="ListBullet3"/>
      </w:pPr>
      <w:r w:rsidRPr="008C1306">
        <w:t>implantable cardioverter defibrillator</w:t>
      </w:r>
      <w:r w:rsidRPr="008C1306">
        <w:rPr>
          <w:rStyle w:val="SpecialBold"/>
        </w:rPr>
        <w:t xml:space="preserve"> </w:t>
      </w:r>
      <w:r w:rsidRPr="008C1306">
        <w:t>(ICD)</w:t>
      </w:r>
    </w:p>
    <w:p w:rsidR="00000000" w:rsidRPr="008C1306" w:rsidP="008C1306">
      <w:pPr>
        <w:pStyle w:val="ListBullet3"/>
      </w:pPr>
      <w:r w:rsidRPr="008C1306">
        <w:t>cardioversion</w:t>
      </w:r>
    </w:p>
    <w:p w:rsidR="00000000" w:rsidRPr="008C1306" w:rsidP="008C1306">
      <w:pPr>
        <w:pStyle w:val="ListBullet3"/>
      </w:pPr>
      <w:r w:rsidRPr="008C1306">
        <w:t>echocardiogram</w:t>
      </w:r>
    </w:p>
    <w:p w:rsidR="00000000" w:rsidRPr="008C1306" w:rsidP="008C1306">
      <w:pPr>
        <w:pStyle w:val="ListBullet3"/>
      </w:pPr>
      <w:r w:rsidRPr="008C1306">
        <w:t>exercise stress test</w:t>
      </w:r>
    </w:p>
    <w:p w:rsidR="00000000" w:rsidRPr="008C1306" w:rsidP="008C1306">
      <w:pPr>
        <w:pStyle w:val="ListBullet3"/>
      </w:pPr>
      <w:r w:rsidRPr="008C1306">
        <w:t>nuclear medicine scans</w:t>
      </w:r>
    </w:p>
    <w:p w:rsidR="00000000" w:rsidRPr="008C1306" w:rsidP="008C1306">
      <w:pPr>
        <w:pStyle w:val="ListBullet3"/>
      </w:pPr>
      <w:r w:rsidRPr="008C1306">
        <w:t>transoesophageal echocardiogram (TOE)</w:t>
      </w:r>
    </w:p>
    <w:p w:rsidR="00000000" w:rsidRPr="008C1306" w:rsidP="008C1306">
      <w:pPr>
        <w:pStyle w:val="ListBullet3"/>
      </w:pPr>
      <w:r w:rsidRPr="008C1306">
        <w:t>hyper and hypo tension</w:t>
      </w:r>
    </w:p>
    <w:p w:rsidR="00000000" w:rsidRPr="008C1306" w:rsidP="008C1306">
      <w:pPr>
        <w:pStyle w:val="ListBullet3"/>
      </w:pPr>
      <w:r w:rsidRPr="008C1306">
        <w:t>pericardiocentesis</w:t>
      </w:r>
    </w:p>
    <w:p w:rsidR="00000000" w:rsidRPr="008C1306" w:rsidP="008C1306">
      <w:pPr>
        <w:pStyle w:val="ListBullet3"/>
      </w:pPr>
      <w:r w:rsidRPr="008C1306">
        <w:t>abdominal aortic aneurysm (AAA) repair</w:t>
      </w:r>
    </w:p>
    <w:p w:rsidR="00000000" w:rsidRPr="008C1306" w:rsidP="008C1306">
      <w:pPr>
        <w:pStyle w:val="ListBullet3"/>
      </w:pPr>
      <w:r w:rsidRPr="008C1306">
        <w:t>varicose veins</w:t>
      </w:r>
    </w:p>
    <w:p w:rsidR="00000000" w:rsidRPr="008C1306" w:rsidP="008C1306">
      <w:pPr>
        <w:pStyle w:val="ListBullet3"/>
      </w:pPr>
      <w:r w:rsidRPr="008C1306">
        <w:t>amputations</w:t>
      </w:r>
    </w:p>
    <w:p w:rsidR="00000000" w:rsidRPr="008C1306" w:rsidP="008C1306">
      <w:pPr>
        <w:pStyle w:val="ListBullet"/>
      </w:pPr>
      <w:r w:rsidRPr="008C1306">
        <w:t>actions designed to maximise cardiovascular function and minimise</w:t>
      </w:r>
      <w:r w:rsidRPr="008C1306">
        <w:t xml:space="preserve"> potential complications</w:t>
      </w:r>
    </w:p>
    <w:p w:rsidR="00000000" w:rsidRPr="008C1306" w:rsidP="008C1306">
      <w:pPr>
        <w:pStyle w:val="ListBullet"/>
      </w:pPr>
      <w:r w:rsidRPr="008C1306">
        <w:t>reflective practice and evidence-based best practice for cardiovascular nursing.</w:t>
      </w:r>
    </w:p>
    <w:p w:rsidR="00000000" w:rsidRPr="008C1306" w:rsidP="008C1306">
      <w:pPr>
        <w:pStyle w:val="AllowPageBreak"/>
      </w:pPr>
    </w:p>
    <w:p w:rsidR="00000000" w:rsidRPr="008C1306" w:rsidP="008C1306">
      <w:pPr>
        <w:pStyle w:val="Heading1"/>
      </w:pPr>
      <w:bookmarkStart w:id="4" w:name="O_821093"/>
      <w:bookmarkEnd w:id="4"/>
      <w:r w:rsidRPr="008C1306">
        <w:t>Assessment Conditions</w:t>
      </w:r>
    </w:p>
    <w:p w:rsidR="00000000" w:rsidRPr="008C1306" w:rsidP="00682A2F">
      <w:pPr>
        <w:pStyle w:val="BodyText"/>
      </w:pPr>
      <w:r w:rsidRPr="008C1306">
        <w:t>Skills must have been demonstrated in the workplace with the addition of simulations and scenarios where the full range of contexts and situations cannot be provided in the workplace. The following conditions must be met for this unit:</w:t>
      </w:r>
    </w:p>
    <w:p w:rsidR="00000000" w:rsidRPr="008C1306" w:rsidP="008C1306">
      <w:pPr>
        <w:pStyle w:val="ListBullet"/>
      </w:pPr>
      <w:r w:rsidRPr="008C1306">
        <w:t>use of suitable fac</w:t>
      </w:r>
      <w:r w:rsidRPr="008C1306">
        <w:t>ilities, equipment and resources in line with the Australian Nursing and Midwifery Accreditation Council’s Standards including:</w:t>
      </w:r>
    </w:p>
    <w:p w:rsidR="00000000" w:rsidRPr="008C1306" w:rsidP="008C1306">
      <w:pPr>
        <w:pStyle w:val="ListBullet2"/>
      </w:pPr>
      <w:r w:rsidRPr="008C1306">
        <w:t xml:space="preserve">simulated learning environment with simulation manikins suitable for advanced clinical nursing skills </w:t>
      </w:r>
    </w:p>
    <w:p w:rsidR="00000000" w:rsidRPr="008C1306" w:rsidP="008C1306">
      <w:pPr>
        <w:pStyle w:val="ListBullet2"/>
      </w:pPr>
      <w:r w:rsidRPr="008C1306">
        <w:t>CPAP and BiPAP (non-inva</w:t>
      </w:r>
      <w:r w:rsidRPr="008C1306">
        <w:t>sive) devices</w:t>
      </w:r>
    </w:p>
    <w:p w:rsidR="00000000" w:rsidRPr="008C1306" w:rsidP="008C1306">
      <w:pPr>
        <w:pStyle w:val="ListBullet2"/>
      </w:pPr>
      <w:r w:rsidRPr="008C1306">
        <w:t>PICC lines and CVC lines</w:t>
      </w:r>
    </w:p>
    <w:p w:rsidR="00000000" w:rsidRPr="008C1306" w:rsidP="008C1306">
      <w:pPr>
        <w:pStyle w:val="ListBullet2"/>
      </w:pPr>
      <w:r w:rsidRPr="008C1306">
        <w:t>underwater seal drains</w:t>
      </w:r>
    </w:p>
    <w:p w:rsidR="00000000" w:rsidRPr="008C1306" w:rsidP="008C1306">
      <w:pPr>
        <w:pStyle w:val="ListBullet2"/>
      </w:pPr>
      <w:r w:rsidRPr="008C1306">
        <w:t>suctioning equipment</w:t>
      </w:r>
    </w:p>
    <w:p w:rsidR="00000000" w:rsidRPr="008C1306" w:rsidP="008C1306">
      <w:pPr>
        <w:pStyle w:val="ListBullet2"/>
      </w:pPr>
      <w:r w:rsidRPr="008C1306">
        <w:t>vital sign monitoring equipment</w:t>
      </w:r>
    </w:p>
    <w:p w:rsidR="00000000" w:rsidRPr="008C1306" w:rsidP="008C1306">
      <w:pPr>
        <w:pStyle w:val="ListBullet2"/>
      </w:pPr>
      <w:r w:rsidRPr="008C1306">
        <w:t xml:space="preserve">progressive notes of a de-identified person’s medical history </w:t>
      </w:r>
    </w:p>
    <w:p w:rsidR="00000000" w:rsidRPr="008C1306" w:rsidP="008C1306">
      <w:pPr>
        <w:pStyle w:val="ListBullet2"/>
      </w:pPr>
      <w:r w:rsidRPr="008C1306">
        <w:t>organisation policy and procedures on which the candidate bases the planning</w:t>
      </w:r>
    </w:p>
    <w:p w:rsidR="00000000" w:rsidRPr="008C1306" w:rsidP="008C1306">
      <w:pPr>
        <w:pStyle w:val="ListBullet"/>
      </w:pPr>
      <w:r w:rsidRPr="008C1306">
        <w:t>modelling of industry operating conditions including access to real people for simulations and scenarios in enrolled nursing work.</w:t>
      </w:r>
    </w:p>
    <w:p w:rsidR="00000000" w:rsidRPr="008C1306" w:rsidP="008C1306">
      <w:pPr>
        <w:pStyle w:val="BodyText"/>
      </w:pPr>
    </w:p>
    <w:p w:rsidR="00000000" w:rsidRPr="008C1306" w:rsidP="00682A2F">
      <w:pPr>
        <w:pStyle w:val="BodyText"/>
      </w:pPr>
      <w:r w:rsidRPr="008C1306">
        <w:t>Assessors must satisfy the Standards for Registered Training Organisations (RTOs) 2015/AQTF mandatory competency requirements for assessors.</w:t>
      </w:r>
    </w:p>
    <w:p w:rsidR="00000000" w:rsidRPr="008C1306" w:rsidP="00682A2F">
      <w:pPr>
        <w:pStyle w:val="BodyText"/>
      </w:pPr>
      <w:r w:rsidRPr="008C1306">
        <w:t xml:space="preserve">In addition, assessors must hold a current registration as a registered nurse with Nursing and Midwifery Board of </w:t>
      </w:r>
      <w:r w:rsidRPr="008C1306">
        <w:t xml:space="preserve">Australia. </w:t>
      </w:r>
    </w:p>
    <w:p w:rsidR="00000000" w:rsidRPr="008C1306" w:rsidP="008C1306">
      <w:pPr>
        <w:pStyle w:val="Heading1"/>
      </w:pPr>
      <w:bookmarkStart w:id="5" w:name="O_821096"/>
      <w:bookmarkEnd w:id="5"/>
      <w:r w:rsidRPr="008C1306">
        <w:t>Links</w:t>
      </w:r>
    </w:p>
    <w:p w:rsidR="00000000" w:rsidRPr="008C1306" w:rsidP="00682A2F">
      <w:pPr>
        <w:pStyle w:val="BodyText"/>
      </w:pPr>
      <w:r w:rsidRPr="008C130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03916">
        <w:rPr>
          <w:rStyle w:val="Hyperlink"/>
        </w:rPr>
        <w:t>https://vetnet.gov.au/Pages/TrainingDocs.aspx?q=ced1390f-48d9-4ab0-bd50-b015e5485705</w:t>
      </w:r>
      <w:r>
        <w:fldChar w:fldCharType="end"/>
      </w:r>
    </w:p>
    <w:p w:rsidR="00000000" w:rsidRPr="008C1306" w:rsidP="008C1306"/>
    <w:sectPr w:rsidSect="008C13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06" w:rsidRPr="00682A2F" w:rsidP="00682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2F" w:rsidP="008C1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A2F" w:rsidP="008C130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682A2F" w:rsidP="008C1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306" w:rsidRPr="00682A2F" w:rsidP="00682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2F" w:rsidRPr="002D2AF8" w:rsidP="008C1306">
    <w:pPr>
      <w:pStyle w:val="Header"/>
      <w:framePr w:wrap="around"/>
    </w:pPr>
    <w:r>
      <w:fldChar w:fldCharType="begin"/>
    </w:r>
    <w:r>
      <w:instrText xml:space="preserve"> TITLE   \* MERGEFORMAT </w:instrText>
    </w:r>
    <w:r>
      <w:fldChar w:fldCharType="separate"/>
    </w:r>
    <w:r>
      <w:t>Assessment Requirements for HLTENN024 Apply nursing practice in the cardiovascular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682A2F" w:rsidP="008C1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81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61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4A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306"/>
    <w:pPr>
      <w:spacing w:before="360" w:after="60"/>
      <w:outlineLvl w:val="0"/>
    </w:pPr>
    <w:rPr>
      <w:sz w:val="32"/>
    </w:rPr>
  </w:style>
  <w:style w:type="paragraph" w:styleId="Heading2">
    <w:name w:val="heading 2"/>
    <w:basedOn w:val="HeadingBase"/>
    <w:next w:val="BodyText"/>
    <w:link w:val="Heading2Char"/>
    <w:qFormat/>
    <w:rsid w:val="008C1306"/>
    <w:pPr>
      <w:keepLines/>
      <w:spacing w:before="240" w:after="120"/>
      <w:outlineLvl w:val="1"/>
    </w:pPr>
    <w:rPr>
      <w:sz w:val="28"/>
      <w:szCs w:val="40"/>
    </w:rPr>
  </w:style>
  <w:style w:type="paragraph" w:styleId="Heading3">
    <w:name w:val="heading 3"/>
    <w:basedOn w:val="HeadingBase"/>
    <w:next w:val="BodyText"/>
    <w:link w:val="Heading3Char"/>
    <w:qFormat/>
    <w:rsid w:val="008C1306"/>
    <w:pPr>
      <w:spacing w:before="180" w:after="120"/>
      <w:outlineLvl w:val="2"/>
    </w:pPr>
    <w:rPr>
      <w:spacing w:val="-10"/>
      <w:kern w:val="32"/>
    </w:rPr>
  </w:style>
  <w:style w:type="paragraph" w:styleId="Heading4">
    <w:name w:val="heading 4"/>
    <w:basedOn w:val="HeadingBase"/>
    <w:next w:val="BodyText"/>
    <w:link w:val="Heading4Char"/>
    <w:qFormat/>
    <w:rsid w:val="008C1306"/>
    <w:pPr>
      <w:spacing w:before="160" w:after="120"/>
      <w:outlineLvl w:val="3"/>
    </w:pPr>
    <w:rPr>
      <w:sz w:val="22"/>
    </w:rPr>
  </w:style>
  <w:style w:type="paragraph" w:styleId="Heading5">
    <w:name w:val="heading 5"/>
    <w:basedOn w:val="HeadingBase"/>
    <w:next w:val="Normal"/>
    <w:link w:val="Heading5Char"/>
    <w:qFormat/>
    <w:rsid w:val="008C1306"/>
    <w:pPr>
      <w:spacing w:before="80"/>
      <w:outlineLvl w:val="4"/>
    </w:pPr>
    <w:rPr>
      <w:color w:val="918585"/>
      <w:sz w:val="20"/>
    </w:rPr>
  </w:style>
  <w:style w:type="paragraph" w:styleId="Heading6">
    <w:name w:val="heading 6"/>
    <w:basedOn w:val="HeadingBase"/>
    <w:next w:val="Normal"/>
    <w:link w:val="Heading6Char"/>
    <w:qFormat/>
    <w:rsid w:val="008C1306"/>
    <w:pPr>
      <w:spacing w:before="60"/>
      <w:outlineLvl w:val="5"/>
    </w:pPr>
    <w:rPr>
      <w:color w:val="918585"/>
      <w:sz w:val="20"/>
    </w:rPr>
  </w:style>
  <w:style w:type="paragraph" w:styleId="Heading7">
    <w:name w:val="heading 7"/>
    <w:basedOn w:val="Normal"/>
    <w:next w:val="Normal"/>
    <w:link w:val="Heading7Char"/>
    <w:qFormat/>
    <w:rsid w:val="008C1306"/>
    <w:pPr>
      <w:ind w:left="720"/>
      <w:outlineLvl w:val="6"/>
    </w:pPr>
    <w:rPr>
      <w:i/>
    </w:rPr>
  </w:style>
  <w:style w:type="paragraph" w:styleId="Heading8">
    <w:name w:val="heading 8"/>
    <w:basedOn w:val="Normal"/>
    <w:next w:val="Normal"/>
    <w:link w:val="Heading8Char"/>
    <w:qFormat/>
    <w:rsid w:val="008C1306"/>
    <w:pPr>
      <w:ind w:left="720"/>
      <w:outlineLvl w:val="7"/>
    </w:pPr>
    <w:rPr>
      <w:i/>
    </w:rPr>
  </w:style>
  <w:style w:type="paragraph" w:styleId="Heading9">
    <w:name w:val="heading 9"/>
    <w:basedOn w:val="Normal"/>
    <w:next w:val="Normal"/>
    <w:link w:val="Heading9Char"/>
    <w:qFormat/>
    <w:rsid w:val="008C1306"/>
    <w:pPr>
      <w:ind w:left="720"/>
      <w:outlineLvl w:val="8"/>
    </w:pPr>
    <w:rPr>
      <w:i/>
    </w:rPr>
  </w:style>
  <w:style w:type="character" w:default="1" w:styleId="DefaultParagraphFont">
    <w:name w:val="Default Paragraph Font"/>
    <w:uiPriority w:val="1"/>
    <w:unhideWhenUsed/>
    <w:rsid w:val="008C1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306"/>
  </w:style>
  <w:style w:type="character" w:customStyle="1" w:styleId="Heading1Char">
    <w:name w:val="Heading 1 Char"/>
    <w:basedOn w:val="DefaultParagraphFont"/>
    <w:link w:val="Heading1"/>
    <w:rsid w:val="008C1306"/>
    <w:rPr>
      <w:rFonts w:ascii="Times New Roman" w:eastAsia="Times New Roman" w:hAnsi="Times New Roman" w:cs="Times New Roman"/>
      <w:b/>
      <w:sz w:val="32"/>
      <w:szCs w:val="20"/>
      <w:lang w:eastAsia="en-US"/>
    </w:rPr>
  </w:style>
  <w:style w:type="paragraph" w:styleId="BodyText">
    <w:name w:val="Body Text"/>
    <w:basedOn w:val="Normal"/>
    <w:link w:val="BodyTextChar"/>
    <w:rsid w:val="008C1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306"/>
    <w:rPr>
      <w:rFonts w:ascii="Times New Roman" w:eastAsia="Times New Roman" w:hAnsi="Times New Roman" w:cs="Times New Roman"/>
      <w:sz w:val="24"/>
      <w:lang w:eastAsia="en-US"/>
    </w:rPr>
  </w:style>
  <w:style w:type="paragraph" w:styleId="ListBullet">
    <w:name w:val="List Bullet"/>
    <w:basedOn w:val="List"/>
    <w:rsid w:val="008C1306"/>
    <w:pPr>
      <w:numPr>
        <w:numId w:val="13"/>
      </w:numPr>
      <w:tabs>
        <w:tab w:val="clear" w:pos="340"/>
      </w:tabs>
      <w:spacing w:before="40" w:after="40"/>
    </w:pPr>
  </w:style>
  <w:style w:type="character" w:customStyle="1" w:styleId="SpecialBold">
    <w:name w:val="Special Bold"/>
    <w:basedOn w:val="DefaultParagraphFont"/>
    <w:rsid w:val="008C1306"/>
    <w:rPr>
      <w:b/>
      <w:spacing w:val="0"/>
    </w:rPr>
  </w:style>
  <w:style w:type="paragraph" w:styleId="ListBullet2">
    <w:name w:val="List Bullet 2"/>
    <w:basedOn w:val="List2"/>
    <w:rsid w:val="008C1306"/>
    <w:pPr>
      <w:numPr>
        <w:numId w:val="14"/>
      </w:numPr>
      <w:tabs>
        <w:tab w:val="clear" w:pos="680"/>
      </w:tabs>
    </w:pPr>
  </w:style>
  <w:style w:type="character" w:styleId="Emphasis">
    <w:name w:val="Emphasis"/>
    <w:basedOn w:val="DefaultParagraphFont"/>
    <w:qFormat/>
    <w:rsid w:val="008C1306"/>
    <w:rPr>
      <w:i/>
    </w:rPr>
  </w:style>
  <w:style w:type="paragraph" w:customStyle="1" w:styleId="SuperHeading">
    <w:name w:val="SuperHeading"/>
    <w:basedOn w:val="Normal"/>
    <w:rsid w:val="008C1306"/>
    <w:pPr>
      <w:spacing w:before="240" w:after="120"/>
      <w:outlineLvl w:val="0"/>
    </w:pPr>
    <w:rPr>
      <w:rFonts w:ascii="Times New Roman" w:hAnsi="Times New Roman"/>
      <w:b/>
      <w:sz w:val="32"/>
    </w:rPr>
  </w:style>
  <w:style w:type="paragraph" w:customStyle="1" w:styleId="AllowPageBreak">
    <w:name w:val="AllowPageBreak"/>
    <w:rsid w:val="008C13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1306"/>
    <w:pPr>
      <w:numPr>
        <w:numId w:val="3"/>
      </w:numPr>
      <w:tabs>
        <w:tab w:val="clear" w:pos="1021"/>
      </w:tabs>
      <w:ind w:left="1037" w:hanging="357"/>
    </w:pPr>
  </w:style>
  <w:style w:type="character" w:customStyle="1" w:styleId="Heading2Char">
    <w:name w:val="Heading 2 Char"/>
    <w:basedOn w:val="DefaultParagraphFont"/>
    <w:link w:val="Heading2"/>
    <w:rsid w:val="008C1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306"/>
    <w:rPr>
      <w:rFonts w:ascii="Courier New" w:eastAsia="Times New Roman" w:hAnsi="Courier New" w:cs="Times New Roman"/>
      <w:i/>
      <w:szCs w:val="20"/>
      <w:lang w:eastAsia="en-US"/>
    </w:rPr>
  </w:style>
  <w:style w:type="paragraph" w:customStyle="1" w:styleId="HeadingBase">
    <w:name w:val="Heading Base"/>
    <w:rsid w:val="008C1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306"/>
    <w:pPr>
      <w:tabs>
        <w:tab w:val="right" w:leader="dot" w:pos="9072"/>
      </w:tabs>
      <w:ind w:left="567"/>
    </w:pPr>
    <w:rPr>
      <w:szCs w:val="22"/>
    </w:rPr>
  </w:style>
  <w:style w:type="paragraph" w:customStyle="1" w:styleId="TOCBase">
    <w:name w:val="TOC Base"/>
    <w:rsid w:val="008C1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306"/>
    <w:pPr>
      <w:tabs>
        <w:tab w:val="right" w:leader="dot" w:pos="9072"/>
      </w:tabs>
      <w:spacing w:before="40" w:after="40"/>
      <w:ind w:left="284"/>
    </w:pPr>
    <w:rPr>
      <w:rFonts w:ascii="Times New Roman" w:hAnsi="Times New Roman"/>
    </w:rPr>
  </w:style>
  <w:style w:type="paragraph" w:styleId="TOC1">
    <w:name w:val="toc 1"/>
    <w:basedOn w:val="TOCBase"/>
    <w:next w:val="Normal"/>
    <w:rsid w:val="008C1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306"/>
    <w:rPr>
      <w:rFonts w:ascii="Times New Roman" w:eastAsia="Times New Roman" w:hAnsi="Times New Roman" w:cs="Times New Roman"/>
      <w:sz w:val="16"/>
      <w:lang w:eastAsia="en-US"/>
    </w:rPr>
  </w:style>
  <w:style w:type="paragraph" w:styleId="Title">
    <w:name w:val="Title"/>
    <w:basedOn w:val="HeadingBase"/>
    <w:link w:val="TitleChar"/>
    <w:qFormat/>
    <w:rsid w:val="008C1306"/>
    <w:pPr>
      <w:spacing w:before="5040"/>
      <w:jc w:val="center"/>
    </w:pPr>
    <w:rPr>
      <w:sz w:val="48"/>
      <w:szCs w:val="72"/>
      <w:lang w:val="en-US"/>
    </w:rPr>
  </w:style>
  <w:style w:type="character" w:customStyle="1" w:styleId="TitleChar">
    <w:name w:val="Title Char"/>
    <w:basedOn w:val="DefaultParagraphFont"/>
    <w:link w:val="Title"/>
    <w:rsid w:val="008C1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306"/>
    <w:pPr>
      <w:tabs>
        <w:tab w:val="left" w:pos="3600"/>
        <w:tab w:val="left" w:pos="3958"/>
      </w:tabs>
    </w:pPr>
  </w:style>
  <w:style w:type="paragraph" w:styleId="List">
    <w:name w:val="List"/>
    <w:basedOn w:val="BodyText"/>
    <w:next w:val="BodyText"/>
    <w:rsid w:val="008C1306"/>
    <w:pPr>
      <w:tabs>
        <w:tab w:val="left" w:pos="340"/>
      </w:tabs>
      <w:spacing w:before="60" w:after="60"/>
      <w:ind w:left="340" w:hanging="340"/>
    </w:pPr>
  </w:style>
  <w:style w:type="paragraph" w:customStyle="1" w:styleId="Note">
    <w:name w:val="Note"/>
    <w:basedOn w:val="BodyText"/>
    <w:rsid w:val="008C1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306"/>
    <w:pPr>
      <w:framePr w:wrap="auto" w:hAnchor="text" w:y="6049"/>
    </w:pPr>
    <w:rPr>
      <w:color w:val="000000"/>
      <w:sz w:val="40"/>
    </w:rPr>
  </w:style>
  <w:style w:type="paragraph" w:customStyle="1" w:styleId="TOCTitle">
    <w:name w:val="TOCTitle"/>
    <w:basedOn w:val="Heading1"/>
    <w:rsid w:val="008C1306"/>
    <w:pPr>
      <w:spacing w:after="240"/>
      <w:jc w:val="center"/>
      <w:outlineLvl w:val="9"/>
    </w:pPr>
    <w:rPr>
      <w:caps/>
    </w:rPr>
  </w:style>
  <w:style w:type="paragraph" w:customStyle="1" w:styleId="Version">
    <w:name w:val="Version"/>
    <w:rsid w:val="008C1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306"/>
    <w:pPr>
      <w:keepNext w:val="0"/>
      <w:tabs>
        <w:tab w:val="right" w:pos="4176"/>
      </w:tabs>
      <w:ind w:left="198" w:hanging="198"/>
    </w:pPr>
    <w:rPr>
      <w:rFonts w:ascii="Garamond" w:hAnsi="Garamond"/>
    </w:rPr>
  </w:style>
  <w:style w:type="paragraph" w:styleId="IndexHeading">
    <w:name w:val="index heading"/>
    <w:basedOn w:val="Normal"/>
    <w:next w:val="Index1"/>
    <w:semiHidden/>
    <w:rsid w:val="008C1306"/>
    <w:pPr>
      <w:spacing w:before="120" w:after="120"/>
    </w:pPr>
    <w:rPr>
      <w:rFonts w:ascii="Arial" w:hAnsi="Arial"/>
      <w:b/>
      <w:color w:val="918585"/>
      <w:sz w:val="24"/>
    </w:rPr>
  </w:style>
  <w:style w:type="paragraph" w:styleId="Header">
    <w:name w:val="header"/>
    <w:basedOn w:val="Normal"/>
    <w:link w:val="HeaderChar"/>
    <w:rsid w:val="008C1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306"/>
    <w:rPr>
      <w:rFonts w:ascii="Times New Roman" w:eastAsia="Times New Roman" w:hAnsi="Times New Roman" w:cs="Times New Roman"/>
      <w:sz w:val="16"/>
      <w:szCs w:val="20"/>
      <w:lang w:val="en-GB" w:eastAsia="en-US"/>
    </w:rPr>
  </w:style>
  <w:style w:type="paragraph" w:customStyle="1" w:styleId="Chapter">
    <w:name w:val="Chapter"/>
    <w:basedOn w:val="Normal"/>
    <w:rsid w:val="008C1306"/>
    <w:pPr>
      <w:spacing w:before="240"/>
    </w:pPr>
    <w:rPr>
      <w:rFonts w:ascii="Times New Roman" w:hAnsi="Times New Roman"/>
      <w:smallCaps/>
      <w:spacing w:val="80"/>
      <w:sz w:val="28"/>
    </w:rPr>
  </w:style>
  <w:style w:type="paragraph" w:customStyle="1" w:styleId="InChapter">
    <w:name w:val="InChapter"/>
    <w:basedOn w:val="Heading3"/>
    <w:rsid w:val="008C1306"/>
    <w:pPr>
      <w:spacing w:after="240"/>
      <w:outlineLvl w:val="9"/>
    </w:pPr>
    <w:rPr>
      <w:noProof/>
    </w:rPr>
  </w:style>
  <w:style w:type="paragraph" w:styleId="Index2">
    <w:name w:val="index 2"/>
    <w:basedOn w:val="Normal"/>
    <w:next w:val="Normal"/>
    <w:semiHidden/>
    <w:rsid w:val="008C1306"/>
    <w:pPr>
      <w:tabs>
        <w:tab w:val="right" w:pos="4176"/>
      </w:tabs>
      <w:ind w:left="568" w:hanging="284"/>
    </w:pPr>
    <w:rPr>
      <w:rFonts w:ascii="Garamond" w:hAnsi="Garamond"/>
    </w:rPr>
  </w:style>
  <w:style w:type="paragraph" w:customStyle="1" w:styleId="Byline">
    <w:name w:val="Byline"/>
    <w:rsid w:val="008C1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306"/>
    <w:pPr>
      <w:tabs>
        <w:tab w:val="clear" w:pos="3600"/>
        <w:tab w:val="clear" w:pos="3958"/>
      </w:tabs>
      <w:jc w:val="right"/>
    </w:pPr>
  </w:style>
  <w:style w:type="paragraph" w:styleId="Caption">
    <w:name w:val="caption"/>
    <w:basedOn w:val="BodyText"/>
    <w:next w:val="Normal"/>
    <w:qFormat/>
    <w:rsid w:val="008C1306"/>
    <w:pPr>
      <w:framePr w:w="2268" w:hSpace="181" w:vSpace="181" w:wrap="around" w:vAnchor="text" w:hAnchor="page" w:x="1135" w:y="285" w:anchorLock="1"/>
    </w:pPr>
    <w:rPr>
      <w:i/>
    </w:rPr>
  </w:style>
  <w:style w:type="paragraph" w:customStyle="1" w:styleId="MiniTOCTitle">
    <w:name w:val="MiniTOCTitle"/>
    <w:basedOn w:val="Heading4"/>
    <w:rsid w:val="008C1306"/>
    <w:pPr>
      <w:spacing w:before="240"/>
      <w:outlineLvl w:val="9"/>
    </w:pPr>
    <w:rPr>
      <w:noProof/>
      <w:sz w:val="24"/>
    </w:rPr>
  </w:style>
  <w:style w:type="paragraph" w:customStyle="1" w:styleId="MiniTOCItem">
    <w:name w:val="MiniTOCItem"/>
    <w:basedOn w:val="ListBullet"/>
    <w:rsid w:val="008C1306"/>
    <w:pPr>
      <w:numPr>
        <w:numId w:val="0"/>
      </w:numPr>
      <w:tabs>
        <w:tab w:val="right" w:leader="dot" w:pos="6521"/>
      </w:tabs>
      <w:spacing w:before="0" w:after="0"/>
    </w:pPr>
  </w:style>
  <w:style w:type="paragraph" w:customStyle="1" w:styleId="TOFTitle">
    <w:name w:val="TOFTitle"/>
    <w:basedOn w:val="TOCTitle"/>
    <w:rsid w:val="008C1306"/>
  </w:style>
  <w:style w:type="paragraph" w:styleId="TableofFigures">
    <w:name w:val="table of figures"/>
    <w:basedOn w:val="Normal"/>
    <w:next w:val="Normal"/>
    <w:semiHidden/>
    <w:rsid w:val="008C1306"/>
    <w:pPr>
      <w:tabs>
        <w:tab w:val="right" w:leader="dot" w:pos="9072"/>
      </w:tabs>
      <w:ind w:left="970" w:hanging="403"/>
    </w:pPr>
    <w:rPr>
      <w:rFonts w:ascii="Times New Roman" w:hAnsi="Times New Roman"/>
      <w:b/>
    </w:rPr>
  </w:style>
  <w:style w:type="paragraph" w:styleId="ListNumber">
    <w:name w:val="List Number"/>
    <w:basedOn w:val="List"/>
    <w:rsid w:val="008C1306"/>
    <w:pPr>
      <w:numPr>
        <w:numId w:val="16"/>
      </w:numPr>
      <w:tabs>
        <w:tab w:val="clear" w:pos="340"/>
      </w:tabs>
    </w:pPr>
  </w:style>
  <w:style w:type="character" w:customStyle="1" w:styleId="WingdingSymbols">
    <w:name w:val="Wingding Symbols"/>
    <w:rsid w:val="008C1306"/>
    <w:rPr>
      <w:rFonts w:ascii="Wingdings" w:hAnsi="Wingdings"/>
    </w:rPr>
  </w:style>
  <w:style w:type="paragraph" w:customStyle="1" w:styleId="TableHeading">
    <w:name w:val="Table Heading"/>
    <w:basedOn w:val="HeadingBase"/>
    <w:rsid w:val="008C1306"/>
    <w:pPr>
      <w:keepLines/>
      <w:pBdr>
        <w:bottom w:val="single" w:sz="6" w:space="1" w:color="918585"/>
      </w:pBdr>
      <w:spacing w:before="240"/>
    </w:pPr>
  </w:style>
  <w:style w:type="character" w:customStyle="1" w:styleId="HotSpot">
    <w:name w:val="HotSpot"/>
    <w:rsid w:val="008C1306"/>
    <w:rPr>
      <w:color w:val="0033CC"/>
      <w:u w:val="none"/>
    </w:rPr>
  </w:style>
  <w:style w:type="paragraph" w:customStyle="1" w:styleId="BodyTextRight">
    <w:name w:val="Body Text Right"/>
    <w:basedOn w:val="BodyText"/>
    <w:rsid w:val="008C1306"/>
    <w:pPr>
      <w:spacing w:before="0" w:after="0"/>
      <w:jc w:val="right"/>
    </w:pPr>
  </w:style>
  <w:style w:type="paragraph" w:styleId="Index3">
    <w:name w:val="index 3"/>
    <w:basedOn w:val="ListNumber2"/>
    <w:next w:val="Normal"/>
    <w:semiHidden/>
    <w:rsid w:val="008C1306"/>
    <w:pPr>
      <w:numPr>
        <w:numId w:val="0"/>
      </w:numPr>
      <w:tabs>
        <w:tab w:val="right" w:leader="dot" w:pos="4176"/>
      </w:tabs>
    </w:pPr>
  </w:style>
  <w:style w:type="paragraph" w:styleId="ListNumber2">
    <w:name w:val="List Number 2"/>
    <w:basedOn w:val="List2"/>
    <w:rsid w:val="008C1306"/>
    <w:pPr>
      <w:numPr>
        <w:numId w:val="11"/>
      </w:numPr>
      <w:tabs>
        <w:tab w:val="clear" w:pos="1060"/>
      </w:tabs>
    </w:pPr>
  </w:style>
  <w:style w:type="paragraph" w:customStyle="1" w:styleId="MarginNote">
    <w:name w:val="Margin Note"/>
    <w:basedOn w:val="BodyText"/>
    <w:rsid w:val="008C1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306"/>
    <w:rPr>
      <w:sz w:val="32"/>
    </w:rPr>
  </w:style>
  <w:style w:type="paragraph" w:customStyle="1" w:styleId="HeadingProcedure">
    <w:name w:val="Heading Procedure"/>
    <w:basedOn w:val="HeadingBase"/>
    <w:next w:val="Normal"/>
    <w:rsid w:val="008C1306"/>
    <w:pPr>
      <w:tabs>
        <w:tab w:val="left" w:pos="0"/>
      </w:tabs>
      <w:spacing w:before="120" w:after="60"/>
    </w:pPr>
    <w:rPr>
      <w:i/>
      <w:color w:val="918585"/>
      <w:sz w:val="22"/>
    </w:rPr>
  </w:style>
  <w:style w:type="paragraph" w:customStyle="1" w:styleId="TableBodyText">
    <w:name w:val="Table Body Text"/>
    <w:basedOn w:val="BodyText"/>
    <w:rsid w:val="008C1306"/>
    <w:pPr>
      <w:spacing w:before="60" w:after="60"/>
    </w:pPr>
  </w:style>
  <w:style w:type="paragraph" w:styleId="ListContinue">
    <w:name w:val="List Continue"/>
    <w:basedOn w:val="List"/>
    <w:rsid w:val="008C1306"/>
    <w:pPr>
      <w:ind w:firstLine="0"/>
    </w:pPr>
  </w:style>
  <w:style w:type="paragraph" w:customStyle="1" w:styleId="ListNote">
    <w:name w:val="List Note"/>
    <w:basedOn w:val="List"/>
    <w:rsid w:val="008C1306"/>
    <w:pPr>
      <w:pBdr>
        <w:top w:val="single" w:sz="6" w:space="2" w:color="918585"/>
        <w:bottom w:val="single" w:sz="6" w:space="2" w:color="918585"/>
      </w:pBdr>
      <w:tabs>
        <w:tab w:val="left" w:pos="1021"/>
      </w:tabs>
      <w:ind w:firstLine="0"/>
    </w:pPr>
  </w:style>
  <w:style w:type="paragraph" w:customStyle="1" w:styleId="Warning">
    <w:name w:val="Warning"/>
    <w:basedOn w:val="BodyText"/>
    <w:rsid w:val="008C1306"/>
    <w:pPr>
      <w:shd w:val="clear" w:color="auto" w:fill="D9D9D9"/>
      <w:tabs>
        <w:tab w:val="left" w:pos="992"/>
      </w:tabs>
      <w:ind w:left="119" w:right="119"/>
    </w:pPr>
    <w:rPr>
      <w:sz w:val="20"/>
    </w:rPr>
  </w:style>
  <w:style w:type="paragraph" w:customStyle="1" w:styleId="MarginIcons">
    <w:name w:val="Margin Icons"/>
    <w:basedOn w:val="BodyText"/>
    <w:rsid w:val="008C1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306"/>
    <w:rPr>
      <w:rFonts w:ascii="Courier New" w:hAnsi="Courier New"/>
    </w:rPr>
  </w:style>
  <w:style w:type="paragraph" w:customStyle="1" w:styleId="NoteBullet">
    <w:name w:val="Note Bullet"/>
    <w:basedOn w:val="Note"/>
    <w:rsid w:val="008C1306"/>
    <w:pPr>
      <w:tabs>
        <w:tab w:val="clear" w:pos="680"/>
      </w:tabs>
      <w:spacing w:before="60" w:after="60"/>
    </w:pPr>
  </w:style>
  <w:style w:type="paragraph" w:customStyle="1" w:styleId="SubHeading2">
    <w:name w:val="SubHeading2"/>
    <w:basedOn w:val="HeadingBase"/>
    <w:rsid w:val="008C1306"/>
    <w:pPr>
      <w:spacing w:before="240" w:after="60"/>
    </w:pPr>
    <w:rPr>
      <w:sz w:val="20"/>
    </w:rPr>
  </w:style>
  <w:style w:type="paragraph" w:customStyle="1" w:styleId="SubHeading1">
    <w:name w:val="SubHeading1"/>
    <w:basedOn w:val="HeadingBase"/>
    <w:rsid w:val="008C1306"/>
    <w:pPr>
      <w:spacing w:before="240" w:after="60"/>
    </w:pPr>
    <w:rPr>
      <w:color w:val="918585"/>
      <w:sz w:val="22"/>
    </w:rPr>
  </w:style>
  <w:style w:type="paragraph" w:customStyle="1" w:styleId="SideHeading">
    <w:name w:val="Side Heading"/>
    <w:basedOn w:val="HeadingBase"/>
    <w:rsid w:val="008C1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306"/>
    <w:pPr>
      <w:numPr>
        <w:numId w:val="12"/>
      </w:numPr>
    </w:pPr>
  </w:style>
  <w:style w:type="paragraph" w:styleId="PlainText">
    <w:name w:val="Plain Text"/>
    <w:basedOn w:val="Normal"/>
    <w:link w:val="PlainTextChar"/>
    <w:rsid w:val="008C1306"/>
    <w:rPr>
      <w:sz w:val="20"/>
    </w:rPr>
  </w:style>
  <w:style w:type="character" w:customStyle="1" w:styleId="PlainTextChar">
    <w:name w:val="Plain Text Char"/>
    <w:basedOn w:val="DefaultParagraphFont"/>
    <w:link w:val="PlainText"/>
    <w:rsid w:val="008C1306"/>
    <w:rPr>
      <w:rFonts w:ascii="Courier New" w:eastAsia="Times New Roman" w:hAnsi="Courier New" w:cs="Times New Roman"/>
      <w:sz w:val="20"/>
      <w:szCs w:val="20"/>
      <w:lang w:eastAsia="en-US"/>
    </w:rPr>
  </w:style>
  <w:style w:type="character" w:customStyle="1" w:styleId="MenuOption">
    <w:name w:val="Menu Option"/>
    <w:basedOn w:val="DefaultParagraphFont"/>
    <w:rsid w:val="008C1306"/>
    <w:rPr>
      <w:b/>
      <w:smallCaps/>
    </w:rPr>
  </w:style>
  <w:style w:type="paragraph" w:customStyle="1" w:styleId="TableListNumber">
    <w:name w:val="Table List Number"/>
    <w:basedOn w:val="ListNumber"/>
    <w:rsid w:val="008C1306"/>
    <w:pPr>
      <w:numPr>
        <w:numId w:val="0"/>
      </w:numPr>
    </w:pPr>
  </w:style>
  <w:style w:type="paragraph" w:styleId="TOC4">
    <w:name w:val="toc 4"/>
    <w:basedOn w:val="TOCBase"/>
    <w:next w:val="Normal"/>
    <w:semiHidden/>
    <w:rsid w:val="008C1306"/>
    <w:pPr>
      <w:tabs>
        <w:tab w:val="right" w:leader="dot" w:pos="9071"/>
      </w:tabs>
      <w:ind w:left="1701"/>
    </w:pPr>
  </w:style>
  <w:style w:type="paragraph" w:customStyle="1" w:styleId="ListAlpha">
    <w:name w:val="List Alpha"/>
    <w:basedOn w:val="List"/>
    <w:rsid w:val="008C1306"/>
    <w:pPr>
      <w:numPr>
        <w:numId w:val="10"/>
      </w:numPr>
    </w:pPr>
  </w:style>
  <w:style w:type="paragraph" w:customStyle="1" w:styleId="ListAlpha2">
    <w:name w:val="List Alpha 2"/>
    <w:basedOn w:val="List2"/>
    <w:rsid w:val="008C1306"/>
    <w:pPr>
      <w:numPr>
        <w:numId w:val="9"/>
      </w:numPr>
    </w:pPr>
  </w:style>
  <w:style w:type="paragraph" w:styleId="List2">
    <w:name w:val="List 2"/>
    <w:basedOn w:val="BodyText"/>
    <w:rsid w:val="008C1306"/>
    <w:pPr>
      <w:tabs>
        <w:tab w:val="left" w:pos="680"/>
      </w:tabs>
      <w:spacing w:before="60" w:after="60"/>
      <w:ind w:left="680" w:hanging="340"/>
    </w:pPr>
  </w:style>
  <w:style w:type="paragraph" w:styleId="List3">
    <w:name w:val="List 3"/>
    <w:basedOn w:val="BodyText"/>
    <w:rsid w:val="008C1306"/>
    <w:pPr>
      <w:tabs>
        <w:tab w:val="left" w:pos="1021"/>
      </w:tabs>
      <w:spacing w:before="60" w:after="60"/>
      <w:ind w:left="1020" w:hanging="340"/>
    </w:pPr>
  </w:style>
  <w:style w:type="paragraph" w:styleId="List4">
    <w:name w:val="List 4"/>
    <w:basedOn w:val="BodyText"/>
    <w:rsid w:val="008C1306"/>
    <w:pPr>
      <w:tabs>
        <w:tab w:val="left" w:pos="1361"/>
      </w:tabs>
      <w:spacing w:before="60" w:after="60"/>
      <w:ind w:left="1361" w:hanging="340"/>
    </w:pPr>
  </w:style>
  <w:style w:type="paragraph" w:styleId="List5">
    <w:name w:val="List 5"/>
    <w:basedOn w:val="BodyText"/>
    <w:rsid w:val="008C1306"/>
    <w:pPr>
      <w:tabs>
        <w:tab w:val="left" w:pos="1701"/>
      </w:tabs>
      <w:spacing w:before="60" w:after="60"/>
      <w:ind w:left="1701" w:hanging="340"/>
    </w:pPr>
  </w:style>
  <w:style w:type="paragraph" w:styleId="ListBullet4">
    <w:name w:val="List Bullet 4"/>
    <w:basedOn w:val="List4"/>
    <w:rsid w:val="008C1306"/>
    <w:pPr>
      <w:numPr>
        <w:numId w:val="4"/>
      </w:numPr>
      <w:tabs>
        <w:tab w:val="clear" w:pos="1361"/>
      </w:tabs>
    </w:pPr>
  </w:style>
  <w:style w:type="paragraph" w:styleId="ListBullet5">
    <w:name w:val="List Bullet 5"/>
    <w:basedOn w:val="List5"/>
    <w:rsid w:val="008C1306"/>
    <w:pPr>
      <w:numPr>
        <w:numId w:val="5"/>
      </w:numPr>
    </w:pPr>
  </w:style>
  <w:style w:type="paragraph" w:styleId="ListContinue2">
    <w:name w:val="List Continue 2"/>
    <w:basedOn w:val="List2"/>
    <w:rsid w:val="008C1306"/>
    <w:pPr>
      <w:ind w:firstLine="0"/>
    </w:pPr>
  </w:style>
  <w:style w:type="paragraph" w:styleId="ListContinue3">
    <w:name w:val="List Continue 3"/>
    <w:basedOn w:val="List3"/>
    <w:rsid w:val="008C1306"/>
    <w:pPr>
      <w:ind w:left="1021" w:firstLine="0"/>
    </w:pPr>
  </w:style>
  <w:style w:type="paragraph" w:styleId="ListContinue4">
    <w:name w:val="List Continue 4"/>
    <w:basedOn w:val="List4"/>
    <w:rsid w:val="008C1306"/>
    <w:pPr>
      <w:ind w:firstLine="0"/>
    </w:pPr>
  </w:style>
  <w:style w:type="paragraph" w:styleId="ListContinue5">
    <w:name w:val="List Continue 5"/>
    <w:basedOn w:val="List5"/>
    <w:rsid w:val="008C1306"/>
    <w:pPr>
      <w:ind w:firstLine="0"/>
    </w:pPr>
  </w:style>
  <w:style w:type="paragraph" w:styleId="ListNumber3">
    <w:name w:val="List Number 3"/>
    <w:basedOn w:val="List3"/>
    <w:rsid w:val="008C1306"/>
    <w:pPr>
      <w:numPr>
        <w:numId w:val="6"/>
      </w:numPr>
    </w:pPr>
  </w:style>
  <w:style w:type="paragraph" w:styleId="ListNumber4">
    <w:name w:val="List Number 4"/>
    <w:basedOn w:val="List4"/>
    <w:rsid w:val="008C1306"/>
    <w:pPr>
      <w:numPr>
        <w:numId w:val="7"/>
      </w:numPr>
    </w:pPr>
  </w:style>
  <w:style w:type="paragraph" w:styleId="ListNumber5">
    <w:name w:val="List Number 5"/>
    <w:basedOn w:val="List5"/>
    <w:rsid w:val="008C1306"/>
    <w:pPr>
      <w:numPr>
        <w:numId w:val="8"/>
      </w:numPr>
    </w:pPr>
  </w:style>
  <w:style w:type="paragraph" w:styleId="BlockText">
    <w:name w:val="Block Text"/>
    <w:basedOn w:val="Normal"/>
    <w:rsid w:val="008C1306"/>
    <w:pPr>
      <w:spacing w:after="120"/>
      <w:ind w:left="1440" w:right="1440"/>
    </w:pPr>
  </w:style>
  <w:style w:type="character" w:customStyle="1" w:styleId="Subscript">
    <w:name w:val="Subscript"/>
    <w:basedOn w:val="DefaultParagraphFont"/>
    <w:rsid w:val="008C1306"/>
    <w:rPr>
      <w:sz w:val="16"/>
      <w:vertAlign w:val="subscript"/>
    </w:rPr>
  </w:style>
  <w:style w:type="character" w:customStyle="1" w:styleId="Superscript">
    <w:name w:val="Superscript"/>
    <w:basedOn w:val="DefaultParagraphFont"/>
    <w:rsid w:val="008C1306"/>
    <w:rPr>
      <w:sz w:val="16"/>
      <w:vertAlign w:val="superscript"/>
    </w:rPr>
  </w:style>
  <w:style w:type="character" w:customStyle="1" w:styleId="Symbols">
    <w:name w:val="Symbols"/>
    <w:basedOn w:val="DefaultParagraphFont"/>
    <w:rsid w:val="008C1306"/>
    <w:rPr>
      <w:rFonts w:ascii="Symbol" w:hAnsi="Symbol"/>
    </w:rPr>
  </w:style>
  <w:style w:type="character" w:customStyle="1" w:styleId="MenuOptions">
    <w:name w:val="Menu Options"/>
    <w:basedOn w:val="DefaultParagraphFont"/>
    <w:rsid w:val="008C1306"/>
    <w:rPr>
      <w:rFonts w:ascii="Arial Narrow" w:hAnsi="Arial Narrow"/>
      <w:smallCaps/>
    </w:rPr>
  </w:style>
  <w:style w:type="character" w:customStyle="1" w:styleId="Buttons">
    <w:name w:val="Buttons"/>
    <w:basedOn w:val="DefaultParagraphFont"/>
    <w:rsid w:val="008C1306"/>
    <w:rPr>
      <w:b/>
    </w:rPr>
  </w:style>
  <w:style w:type="character" w:customStyle="1" w:styleId="Underlined">
    <w:name w:val="Underlined"/>
    <w:basedOn w:val="DefaultParagraphFont"/>
    <w:rsid w:val="008C1306"/>
    <w:rPr>
      <w:u w:val="single"/>
    </w:rPr>
  </w:style>
  <w:style w:type="paragraph" w:customStyle="1" w:styleId="TableBodyTextRight">
    <w:name w:val="Table Body Text Right"/>
    <w:basedOn w:val="TableBodyText"/>
    <w:rsid w:val="008C1306"/>
    <w:pPr>
      <w:widowControl w:val="0"/>
      <w:autoSpaceDE w:val="0"/>
      <w:autoSpaceDN w:val="0"/>
      <w:adjustRightInd w:val="0"/>
      <w:jc w:val="right"/>
    </w:pPr>
    <w:rPr>
      <w:rFonts w:cs="Arial"/>
      <w:szCs w:val="18"/>
    </w:rPr>
  </w:style>
  <w:style w:type="paragraph" w:customStyle="1" w:styleId="CopyrightText">
    <w:name w:val="Copyright Text"/>
    <w:basedOn w:val="BodyText"/>
    <w:rsid w:val="008C1306"/>
    <w:rPr>
      <w:sz w:val="18"/>
    </w:rPr>
  </w:style>
  <w:style w:type="paragraph" w:customStyle="1" w:styleId="BodySmallRight">
    <w:name w:val="Body Small Right"/>
    <w:basedOn w:val="BodyTextRight"/>
    <w:rsid w:val="008C1306"/>
    <w:rPr>
      <w:sz w:val="18"/>
      <w:szCs w:val="18"/>
    </w:rPr>
  </w:style>
  <w:style w:type="paragraph" w:customStyle="1" w:styleId="MarginEdition">
    <w:name w:val="Margin Edition"/>
    <w:basedOn w:val="MarginNote"/>
    <w:rsid w:val="008C1306"/>
    <w:pPr>
      <w:spacing w:before="0" w:after="0"/>
    </w:pPr>
    <w:rPr>
      <w:rFonts w:ascii="Times New Roman" w:hAnsi="Times New Roman"/>
      <w:color w:val="999999"/>
    </w:rPr>
  </w:style>
  <w:style w:type="paragraph" w:customStyle="1" w:styleId="Spacer">
    <w:name w:val="Spacer"/>
    <w:basedOn w:val="Normal"/>
    <w:rsid w:val="008C1306"/>
    <w:rPr>
      <w:sz w:val="2"/>
      <w:szCs w:val="2"/>
    </w:rPr>
  </w:style>
  <w:style w:type="character" w:customStyle="1" w:styleId="Small">
    <w:name w:val="Small"/>
    <w:basedOn w:val="DefaultParagraphFont"/>
    <w:rsid w:val="008C1306"/>
    <w:rPr>
      <w:sz w:val="16"/>
    </w:rPr>
  </w:style>
  <w:style w:type="paragraph" w:customStyle="1" w:styleId="WideTable">
    <w:name w:val="Wide Table"/>
    <w:basedOn w:val="Normal"/>
    <w:rsid w:val="008C1306"/>
    <w:pPr>
      <w:ind w:left="-1418"/>
    </w:pPr>
    <w:rPr>
      <w:sz w:val="2"/>
      <w:szCs w:val="2"/>
    </w:rPr>
  </w:style>
  <w:style w:type="character" w:styleId="PageNumber">
    <w:name w:val="page number"/>
    <w:basedOn w:val="DefaultParagraphFont"/>
    <w:rsid w:val="008C1306"/>
  </w:style>
  <w:style w:type="paragraph" w:styleId="Quote">
    <w:name w:val="Quote"/>
    <w:basedOn w:val="Heading1"/>
    <w:link w:val="QuoteChar"/>
    <w:qFormat/>
    <w:rsid w:val="008C1306"/>
    <w:rPr>
      <w:b w:val="0"/>
      <w:sz w:val="72"/>
      <w:szCs w:val="72"/>
      <w:lang w:val="en-NZ"/>
    </w:rPr>
  </w:style>
  <w:style w:type="character" w:customStyle="1" w:styleId="QuoteChar">
    <w:name w:val="Quote Char"/>
    <w:basedOn w:val="DefaultParagraphFont"/>
    <w:link w:val="Quote"/>
    <w:rsid w:val="008C1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306"/>
    <w:pPr>
      <w:pageBreakBefore/>
    </w:pPr>
  </w:style>
  <w:style w:type="paragraph" w:customStyle="1" w:styleId="Border">
    <w:name w:val="Border"/>
    <w:basedOn w:val="Normal"/>
    <w:qFormat/>
    <w:rsid w:val="008C1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306"/>
    <w:rPr>
      <w:b/>
      <w:bCs/>
      <w:i/>
      <w:iCs/>
      <w:color w:val="auto"/>
    </w:rPr>
  </w:style>
  <w:style w:type="paragraph" w:styleId="IntenseQuote">
    <w:name w:val="Intense Quote"/>
    <w:basedOn w:val="Normal"/>
    <w:next w:val="Normal"/>
    <w:link w:val="IntenseQuoteChar"/>
    <w:uiPriority w:val="30"/>
    <w:qFormat/>
    <w:rsid w:val="008C1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306"/>
    <w:rPr>
      <w:smallCaps/>
      <w:color w:val="auto"/>
      <w:u w:val="single"/>
    </w:rPr>
  </w:style>
  <w:style w:type="character" w:styleId="IntenseReference">
    <w:name w:val="Intense Reference"/>
    <w:basedOn w:val="DefaultParagraphFont"/>
    <w:uiPriority w:val="32"/>
    <w:qFormat/>
    <w:rsid w:val="008C1306"/>
    <w:rPr>
      <w:b/>
      <w:bCs/>
      <w:smallCaps/>
      <w:color w:val="auto"/>
      <w:spacing w:val="5"/>
      <w:u w:val="single"/>
    </w:rPr>
  </w:style>
  <w:style w:type="paragraph" w:customStyle="1" w:styleId="2ColumnHeading">
    <w:name w:val="2Column Heading"/>
    <w:basedOn w:val="BodyText"/>
    <w:qFormat/>
    <w:rsid w:val="008C1306"/>
    <w:pPr>
      <w:spacing w:after="60"/>
      <w:ind w:left="-2268"/>
    </w:pPr>
    <w:rPr>
      <w:b/>
    </w:rPr>
  </w:style>
  <w:style w:type="paragraph" w:customStyle="1" w:styleId="Heading1TOC">
    <w:name w:val="Heading1 TOC"/>
    <w:basedOn w:val="Normal"/>
    <w:qFormat/>
    <w:rsid w:val="008C1306"/>
    <w:pPr>
      <w:spacing w:before="240" w:after="120"/>
    </w:pPr>
    <w:rPr>
      <w:rFonts w:ascii="Times New Roman" w:hAnsi="Times New Roman"/>
      <w:b/>
      <w:sz w:val="32"/>
    </w:rPr>
  </w:style>
  <w:style w:type="paragraph" w:customStyle="1" w:styleId="Heading2TOC">
    <w:name w:val="Heading2 TOC"/>
    <w:basedOn w:val="Normal"/>
    <w:qFormat/>
    <w:rsid w:val="008C1306"/>
    <w:pPr>
      <w:spacing w:before="240" w:after="60"/>
    </w:pPr>
    <w:rPr>
      <w:rFonts w:ascii="Times New Roman" w:hAnsi="Times New Roman"/>
      <w:b/>
      <w:sz w:val="28"/>
    </w:rPr>
  </w:style>
  <w:style w:type="character" w:customStyle="1" w:styleId="Underline">
    <w:name w:val="Underline"/>
    <w:basedOn w:val="DefaultParagraphFont"/>
    <w:qFormat/>
    <w:rsid w:val="008C1306"/>
    <w:rPr>
      <w:u w:val="single"/>
    </w:rPr>
  </w:style>
  <w:style w:type="character" w:customStyle="1" w:styleId="BoldandItalics">
    <w:name w:val="Bold and Italics"/>
    <w:qFormat/>
    <w:rsid w:val="008C1306"/>
    <w:rPr>
      <w:b/>
      <w:i/>
      <w:u w:val="none"/>
    </w:rPr>
  </w:style>
  <w:style w:type="paragraph" w:styleId="BalloonText">
    <w:name w:val="Balloon Text"/>
    <w:basedOn w:val="Normal"/>
    <w:link w:val="BalloonTextChar"/>
    <w:rsid w:val="008C1306"/>
    <w:rPr>
      <w:rFonts w:ascii="Tahoma" w:hAnsi="Tahoma" w:cs="Tahoma"/>
      <w:sz w:val="16"/>
      <w:szCs w:val="16"/>
    </w:rPr>
  </w:style>
  <w:style w:type="character" w:customStyle="1" w:styleId="BalloonTextChar">
    <w:name w:val="Balloon Text Char"/>
    <w:basedOn w:val="DefaultParagraphFont"/>
    <w:link w:val="BalloonText"/>
    <w:rsid w:val="008C1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306"/>
    <w:rPr>
      <w:b/>
      <w:color w:val="660033"/>
      <w:spacing w:val="0"/>
    </w:rPr>
  </w:style>
  <w:style w:type="paragraph" w:customStyle="1" w:styleId="Nameditemlist">
    <w:name w:val="Named item list"/>
    <w:basedOn w:val="BodyText"/>
    <w:qFormat/>
    <w:rsid w:val="008C1306"/>
    <w:pPr>
      <w:tabs>
        <w:tab w:val="left" w:pos="2835"/>
      </w:tabs>
      <w:ind w:left="2835" w:hanging="2835"/>
    </w:pPr>
  </w:style>
  <w:style w:type="paragraph" w:customStyle="1" w:styleId="BodyTextnopadding">
    <w:name w:val="Body Text no padding"/>
    <w:basedOn w:val="BodyText"/>
    <w:qFormat/>
    <w:rsid w:val="008C1306"/>
    <w:pPr>
      <w:spacing w:before="0" w:after="0"/>
    </w:pPr>
  </w:style>
  <w:style w:type="paragraph" w:customStyle="1" w:styleId="BodyTextBold">
    <w:name w:val="Body Text Bold"/>
    <w:basedOn w:val="BodyText"/>
    <w:qFormat/>
    <w:rsid w:val="008C1306"/>
    <w:rPr>
      <w:b/>
    </w:rPr>
  </w:style>
  <w:style w:type="character" w:styleId="Hyperlink">
    <w:name w:val="Hyperlink"/>
    <w:basedOn w:val="DefaultParagraphFont"/>
    <w:uiPriority w:val="99"/>
    <w:unhideWhenUsed/>
    <w:rsid w:val="00682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4755</Characters>
  <Application>Microsoft Office Word</Application>
  <DocSecurity>0</DocSecurity>
  <Lines>139</Lines>
  <Paragraphs>115</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HLTENN024 Apply nursing practice in the cardiovascular care setting</dc:title>
  <dc:subject>Approved</dc:subject>
  <dc:creator>SkillsIQ</dc:creator>
  <cp:keywords>Release: 1</cp:keywords>
  <dc:description>Review Date: 12 April 2008</dc:description>
  <cp:lastModifiedBy>HSD_TPCMSd.prod</cp:lastModifiedBy>
  <cp:revision>3</cp:revision>
  <dcterms:created xsi:type="dcterms:W3CDTF">2021-03-18T06:05:00Z</dcterms:created>
  <dcterms:modified xsi:type="dcterms:W3CDTF">2021-03-18T06:05:00Z</dcterms:modified>
</cp:coreProperties>
</file>