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7457B" w:rsidP="0057457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HLTENN022 Contribute to the registration, eligibility and assessment of donors</w:t>
      </w:r>
      <w:r>
        <w:fldChar w:fldCharType="end"/>
      </w:r>
    </w:p>
    <w:p w:rsidR="0057457B" w:rsidP="0057457B">
      <w:pPr>
        <w:pStyle w:val="Version"/>
        <w:sectPr w:rsidSect="009F365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F365F" w:rsidP="009F365F">
      <w:pPr>
        <w:pStyle w:val="SuperHeading"/>
      </w:pPr>
      <w:r w:rsidRPr="009F365F">
        <w:t>HLTENN022 Contribute to the registration, eligibility and assessment of donors</w:t>
      </w:r>
    </w:p>
    <w:p w:rsidR="00000000" w:rsidRPr="009F365F" w:rsidP="009F365F">
      <w:pPr>
        <w:pStyle w:val="Heading1"/>
      </w:pPr>
      <w:bookmarkStart w:id="1" w:name="O_820814"/>
      <w:bookmarkEnd w:id="1"/>
      <w:r w:rsidRPr="009F365F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9F3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5F" w:rsidP="009F365F">
            <w:pPr>
              <w:pStyle w:val="BodyText"/>
            </w:pPr>
            <w:r w:rsidRPr="009F365F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5F">
            <w:pPr>
              <w:pStyle w:val="BodyText"/>
              <w:rPr>
                <w:lang w:val="en-NZ"/>
              </w:rPr>
            </w:pPr>
            <w:r w:rsidRPr="009F365F">
              <w:rPr>
                <w:rStyle w:val="SpecialBold"/>
              </w:rPr>
              <w:t>Comments</w:t>
            </w:r>
          </w:p>
        </w:tc>
      </w:tr>
      <w:tr w:rsidTr="009F3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5F">
            <w:pPr>
              <w:pStyle w:val="BodyText"/>
              <w:rPr>
                <w:lang w:val="en-NZ"/>
              </w:rPr>
            </w:pPr>
            <w:r w:rsidRPr="009F365F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5F" w:rsidP="009F365F">
            <w:pPr>
              <w:pStyle w:val="BodyText"/>
            </w:pPr>
            <w:r w:rsidRPr="009F365F">
              <w:t xml:space="preserve">This version was released in </w:t>
            </w:r>
            <w:r w:rsidRPr="009F365F">
              <w:rPr>
                <w:rStyle w:val="Emphasis"/>
              </w:rPr>
              <w:t>HLT Health Training Package release 3.0</w:t>
            </w:r>
            <w:r w:rsidRPr="009F365F">
              <w:t xml:space="preserve"> and meets the requirements of the 2012 Standards for Training Packages.</w:t>
            </w:r>
          </w:p>
          <w:p w:rsidR="00000000" w:rsidRPr="009F365F" w:rsidP="009F365F">
            <w:pPr>
              <w:pStyle w:val="BodyText"/>
            </w:pPr>
            <w:r w:rsidRPr="009F365F">
              <w:t>Merged HLTEN521B and HLTEN522C. Significant changes to the elements and performance criteria. New evidence requirements for assessment, including volume and frequency requirements. Re</w:t>
            </w:r>
            <w:r w:rsidRPr="009F365F">
              <w:t>moved pre-requisites. Significant change to knowledge evidence.</w:t>
            </w:r>
          </w:p>
        </w:tc>
      </w:tr>
    </w:tbl>
    <w:p w:rsidR="00000000" w:rsidRPr="009F365F" w:rsidP="009F365F">
      <w:pPr>
        <w:pStyle w:val="BodyText"/>
      </w:pPr>
    </w:p>
    <w:p w:rsidR="00000000" w:rsidRPr="009F365F" w:rsidP="009F365F">
      <w:pPr>
        <w:pStyle w:val="AllowPageBreak"/>
      </w:pPr>
    </w:p>
    <w:p w:rsidR="00000000" w:rsidRPr="009F365F" w:rsidP="009F365F">
      <w:pPr>
        <w:pStyle w:val="Heading1"/>
      </w:pPr>
      <w:bookmarkStart w:id="2" w:name="O_820815"/>
      <w:bookmarkEnd w:id="2"/>
      <w:r w:rsidRPr="009F365F">
        <w:t>Application</w:t>
      </w:r>
    </w:p>
    <w:p w:rsidR="00000000" w:rsidRPr="009F365F" w:rsidP="0057457B">
      <w:pPr>
        <w:pStyle w:val="BodyText"/>
      </w:pPr>
      <w:r w:rsidRPr="009F365F">
        <w:t>This unit describes the skills and knowledge required to register and assess blood donors for whole blood, red cells, platelets, plasma and other blood component</w:t>
      </w:r>
      <w:r w:rsidRPr="009F365F">
        <w:t>s donated as whole blood or through the process of apheresis. It does not include haemoglobin testing.</w:t>
      </w:r>
    </w:p>
    <w:p w:rsidR="00000000" w:rsidRPr="009F365F" w:rsidP="0057457B">
      <w:pPr>
        <w:pStyle w:val="BodyText"/>
      </w:pPr>
      <w:r w:rsidRPr="009F365F">
        <w:t>This unit applies to enrolled nursing work carried out in consultation and collaboration with registered nurses, and under supervisory arrangements alig</w:t>
      </w:r>
      <w:r w:rsidRPr="009F365F">
        <w:t xml:space="preserve">ned to the Nursing and Midwifery Board of Australia regulatory authority legislative requirements. </w:t>
      </w:r>
    </w:p>
    <w:p w:rsidR="00000000" w:rsidRPr="0057457B" w:rsidP="0057457B">
      <w:pPr>
        <w:pStyle w:val="BodyText"/>
        <w:rPr>
          <w:i/>
        </w:rPr>
      </w:pPr>
      <w:r w:rsidRPr="0057457B">
        <w:rPr>
          <w:rStyle w:val="Emphasis"/>
        </w:rPr>
        <w:t>The skills in this unit must be applied in accordance with Commonwealth and State/Territory legislation, Australian/New Zealand standards and industry cod</w:t>
      </w:r>
      <w:r w:rsidRPr="0057457B">
        <w:rPr>
          <w:rStyle w:val="Emphasis"/>
        </w:rPr>
        <w:t>es of practice.</w:t>
      </w:r>
    </w:p>
    <w:p w:rsidR="00000000" w:rsidRPr="009F365F" w:rsidP="009F365F">
      <w:pPr>
        <w:pStyle w:val="Heading1"/>
      </w:pPr>
      <w:bookmarkStart w:id="3" w:name="O_820819"/>
      <w:bookmarkEnd w:id="3"/>
      <w:r w:rsidRPr="009F365F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08"/>
        <w:gridCol w:w="5535"/>
      </w:tblGrid>
      <w:tr w:rsidTr="009F3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"/>
          <w:tblHeader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5F" w:rsidP="009F365F">
            <w:pPr>
              <w:pStyle w:val="BodyText"/>
            </w:pPr>
            <w:r w:rsidRPr="009F365F">
              <w:rPr>
                <w:rStyle w:val="SpecialBold"/>
              </w:rPr>
              <w:t>ELEMENT</w:t>
            </w:r>
          </w:p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5F">
            <w:pPr>
              <w:pStyle w:val="BodyText"/>
              <w:rPr>
                <w:lang w:val="en-NZ"/>
              </w:rPr>
            </w:pPr>
            <w:r w:rsidRPr="009F365F">
              <w:rPr>
                <w:rStyle w:val="SpecialBold"/>
              </w:rPr>
              <w:t>PERFORMANCE CRITERIA</w:t>
            </w:r>
          </w:p>
        </w:tc>
      </w:tr>
      <w:tr w:rsidTr="009F3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"/>
          <w:tblHeader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5F" w:rsidP="009F365F">
            <w:pPr>
              <w:pStyle w:val="BodyText"/>
            </w:pPr>
            <w:r w:rsidRPr="009F365F">
              <w:rPr>
                <w:rStyle w:val="Emphasis"/>
              </w:rPr>
              <w:t>Elements define the essential outcomes</w:t>
            </w:r>
          </w:p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5F">
            <w:pPr>
              <w:pStyle w:val="BodyText"/>
              <w:rPr>
                <w:lang w:val="en-NZ"/>
              </w:rPr>
            </w:pPr>
            <w:r w:rsidRPr="009F365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F3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5F">
            <w:pPr>
              <w:pStyle w:val="BodyText"/>
              <w:rPr>
                <w:lang w:val="en-NZ"/>
              </w:rPr>
            </w:pPr>
            <w:r w:rsidRPr="009F365F">
              <w:t>1. Register a donor giving blood and blood components</w:t>
            </w:r>
          </w:p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5F" w:rsidP="009F365F">
            <w:pPr>
              <w:pStyle w:val="BodyText"/>
            </w:pPr>
            <w:r w:rsidRPr="009F365F">
              <w:t>1.1 Identify whether the donor is a new, lapsed or regular donor and use appropriate documentation according to information gained</w:t>
            </w:r>
          </w:p>
          <w:p w:rsidR="00000000" w:rsidRPr="009F365F" w:rsidP="009F365F">
            <w:pPr>
              <w:pStyle w:val="BodyText"/>
            </w:pPr>
            <w:r w:rsidRPr="009F365F">
              <w:t xml:space="preserve">1.2 Use eligibility assessment tools in an appropriate manner and at a </w:t>
            </w:r>
            <w:r w:rsidRPr="009F365F">
              <w:t xml:space="preserve">level and pace that elicits informative </w:t>
            </w:r>
            <w:r w:rsidRPr="009F365F">
              <w:t>responses</w:t>
            </w:r>
          </w:p>
          <w:p w:rsidR="00000000" w:rsidRPr="009F365F" w:rsidP="009F365F">
            <w:pPr>
              <w:pStyle w:val="BodyText"/>
            </w:pPr>
            <w:r w:rsidRPr="009F365F">
              <w:t>1.3 Check donor records against responses, and identify and record discrepancies, inconsistencies, omissions and ambiguities in information, and report to designated personnel</w:t>
            </w:r>
          </w:p>
          <w:p w:rsidR="00000000" w:rsidRPr="009F365F" w:rsidP="009F365F">
            <w:pPr>
              <w:pStyle w:val="BodyText"/>
            </w:pPr>
            <w:r w:rsidRPr="009F365F">
              <w:t>1.4 Respond to the donor’s que</w:t>
            </w:r>
            <w:r w:rsidRPr="009F365F">
              <w:t xml:space="preserve">stions and, before seeking their consent, seek feedback from the donor to confirm that they understand the nature and purpose of procedures </w:t>
            </w:r>
          </w:p>
          <w:p w:rsidR="00000000" w:rsidRPr="009F365F" w:rsidP="009F365F">
            <w:pPr>
              <w:pStyle w:val="BodyText"/>
            </w:pPr>
            <w:r w:rsidRPr="009F365F">
              <w:t xml:space="preserve">1.5 Record donor information clearly and accurately into the donor record, including the donor decision and signed </w:t>
            </w:r>
            <w:r w:rsidRPr="009F365F">
              <w:t>consent</w:t>
            </w:r>
          </w:p>
          <w:p w:rsidR="00000000" w:rsidRPr="009F365F" w:rsidP="009F365F">
            <w:pPr>
              <w:pStyle w:val="BodyText"/>
            </w:pPr>
            <w:r w:rsidRPr="009F365F">
              <w:t>1.6 Refer accurate information to the appropriate person in line with organisation policies and procedures, where donor information indicates unsuitability to donate</w:t>
            </w:r>
          </w:p>
          <w:p w:rsidR="00000000" w:rsidRPr="009F365F" w:rsidP="009F365F">
            <w:pPr>
              <w:pStyle w:val="BodyText"/>
            </w:pPr>
            <w:r w:rsidRPr="009F365F">
              <w:t>1.7 Maintain confidentiality of the donor</w:t>
            </w:r>
          </w:p>
          <w:p w:rsidR="00000000" w:rsidP="009F365F">
            <w:pPr>
              <w:pStyle w:val="BodyText"/>
              <w:rPr>
                <w:lang w:val="en-NZ"/>
              </w:rPr>
            </w:pPr>
          </w:p>
        </w:tc>
      </w:tr>
      <w:tr w:rsidTr="009F3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5F">
            <w:pPr>
              <w:pStyle w:val="BodyText"/>
              <w:rPr>
                <w:lang w:val="en-NZ"/>
              </w:rPr>
            </w:pPr>
            <w:r w:rsidRPr="009F365F">
              <w:t>2. Assess suitability for blood and bl</w:t>
            </w:r>
            <w:r w:rsidRPr="009F365F">
              <w:t>ood component donation</w:t>
            </w:r>
          </w:p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5F" w:rsidP="009F365F">
            <w:pPr>
              <w:pStyle w:val="BodyText"/>
            </w:pPr>
            <w:r w:rsidRPr="009F365F">
              <w:t>2.1 Check the donor against selection criteria requirements for blood and blood component donations</w:t>
            </w:r>
          </w:p>
          <w:p w:rsidR="00000000" w:rsidRPr="009F365F" w:rsidP="009F365F">
            <w:pPr>
              <w:pStyle w:val="BodyText"/>
            </w:pPr>
            <w:r w:rsidRPr="009F365F">
              <w:t>2.2 Provide accurate information about the nature and sequence of session activities appropriate to the donor’s needs and concerns</w:t>
            </w:r>
          </w:p>
          <w:p w:rsidR="00000000" w:rsidRPr="009F365F" w:rsidP="009F365F">
            <w:pPr>
              <w:pStyle w:val="BodyText"/>
            </w:pPr>
            <w:r w:rsidRPr="009F365F">
              <w:t>2.</w:t>
            </w:r>
            <w:r w:rsidRPr="009F365F">
              <w:t>3 Explain clearly and sensitively to the donor where information obtained indicates they may not be able to donate, outlining the reasons for seeking further guidance</w:t>
            </w:r>
          </w:p>
          <w:p w:rsidR="00000000" w:rsidRPr="009F365F" w:rsidP="009F365F">
            <w:pPr>
              <w:pStyle w:val="BodyText"/>
            </w:pPr>
            <w:r w:rsidRPr="009F365F">
              <w:t>2.4 Interpret haematological results to identify variation from normal health status and refer to registered nurse</w:t>
            </w:r>
          </w:p>
          <w:p w:rsidR="00000000" w:rsidRPr="009F365F" w:rsidP="009F365F">
            <w:pPr>
              <w:pStyle w:val="BodyText"/>
            </w:pPr>
            <w:r w:rsidRPr="009F365F">
              <w:t>2.5 Determine that ante-cubital veins are easily accessible in both arms and, if not, refer to registered nurse</w:t>
            </w:r>
          </w:p>
          <w:p w:rsidR="00000000" w:rsidP="009F365F">
            <w:pPr>
              <w:pStyle w:val="BodyText"/>
              <w:rPr>
                <w:lang w:val="en-NZ"/>
              </w:rPr>
            </w:pPr>
          </w:p>
        </w:tc>
      </w:tr>
      <w:tr w:rsidTr="009F365F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99"/>
        </w:trPr>
        <w:tc>
          <w:tcPr>
            <w:tcW w:w="270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F365F">
            <w:pPr>
              <w:pStyle w:val="BodyText"/>
              <w:rPr>
                <w:lang w:val="en-NZ"/>
              </w:rPr>
            </w:pPr>
            <w:r w:rsidRPr="009F365F">
              <w:t>3. Observe a person’s behav</w:t>
            </w:r>
            <w:r w:rsidRPr="009F365F">
              <w:t>iour before and after donation and report any physical irregularity</w:t>
            </w:r>
          </w:p>
        </w:tc>
        <w:tc>
          <w:tcPr>
            <w:tcW w:w="5535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F365F" w:rsidP="009F365F">
            <w:pPr>
              <w:pStyle w:val="BodyText"/>
            </w:pPr>
            <w:r w:rsidRPr="009F365F">
              <w:t>3.1 Observe donor behaviour for any physical observations that may indicate a potential situation such as anxiety or fainting</w:t>
            </w:r>
          </w:p>
          <w:p w:rsidR="00000000" w:rsidRPr="009F365F" w:rsidP="009F365F">
            <w:pPr>
              <w:pStyle w:val="BodyText"/>
            </w:pPr>
            <w:r w:rsidRPr="009F365F">
              <w:t xml:space="preserve">3.2 Alert supervising registered nurse and take action in </w:t>
            </w:r>
            <w:r w:rsidRPr="009F365F">
              <w:t>line</w:t>
            </w:r>
            <w:r w:rsidRPr="009F365F">
              <w:t xml:space="preserve"> with organisation policies and procedures to ensure donor safety</w:t>
            </w:r>
          </w:p>
          <w:p w:rsidR="00000000" w:rsidRPr="009F365F" w:rsidP="009F365F">
            <w:pPr>
              <w:pStyle w:val="BodyText"/>
            </w:pPr>
            <w:r w:rsidRPr="009F365F">
              <w:t>3.3 Document and report incident to designated person in line with organisation policies and procedures</w:t>
            </w:r>
          </w:p>
        </w:tc>
      </w:tr>
    </w:tbl>
    <w:p w:rsidR="00000000" w:rsidRPr="009F365F" w:rsidP="009F365F">
      <w:pPr>
        <w:pStyle w:val="BodyText"/>
      </w:pPr>
    </w:p>
    <w:p w:rsidR="00000000" w:rsidRPr="009F365F" w:rsidP="009F365F">
      <w:pPr>
        <w:pStyle w:val="AllowPageBreak"/>
      </w:pPr>
    </w:p>
    <w:p w:rsidR="00000000" w:rsidRPr="009F365F" w:rsidP="009F365F">
      <w:pPr>
        <w:pStyle w:val="Heading1"/>
      </w:pPr>
      <w:bookmarkStart w:id="4" w:name="O_820820"/>
      <w:bookmarkEnd w:id="4"/>
      <w:r w:rsidRPr="009F365F">
        <w:t>Foundation Skills</w:t>
      </w:r>
    </w:p>
    <w:p w:rsidR="00000000" w:rsidRPr="0057457B" w:rsidP="0057457B">
      <w:pPr>
        <w:pStyle w:val="BodyText"/>
        <w:rPr>
          <w:i/>
        </w:rPr>
      </w:pPr>
      <w:r w:rsidRPr="0057457B">
        <w:rPr>
          <w:rStyle w:val="Emphasis"/>
        </w:rPr>
        <w:t>The Foundation Skills describe those required ski</w:t>
      </w:r>
      <w:r w:rsidRPr="0057457B">
        <w:rPr>
          <w:rStyle w:val="Emphasis"/>
        </w:rPr>
        <w:t>lls (language, literacy, numeracy and employment skills) that are essential to performance.</w:t>
      </w:r>
    </w:p>
    <w:p w:rsidR="00000000" w:rsidRPr="009F365F" w:rsidP="0057457B">
      <w:pPr>
        <w:pStyle w:val="BodyText"/>
      </w:pPr>
      <w:r w:rsidRPr="009F365F">
        <w:t>Foundation skills essential to performance are explicit in the performance criteria of this unit of competency.</w:t>
      </w:r>
    </w:p>
    <w:p w:rsidR="00000000" w:rsidRPr="009F365F" w:rsidP="009F365F">
      <w:pPr>
        <w:pStyle w:val="Heading1"/>
      </w:pPr>
      <w:bookmarkStart w:id="5" w:name="O_820822"/>
      <w:bookmarkEnd w:id="5"/>
      <w:r w:rsidRPr="009F365F">
        <w:t>Unit Mapping Information</w:t>
      </w:r>
    </w:p>
    <w:p w:rsidR="00000000" w:rsidRPr="009F365F" w:rsidP="0057457B">
      <w:pPr>
        <w:pStyle w:val="BodyText"/>
      </w:pPr>
      <w:r w:rsidRPr="009F365F">
        <w:t>No equiva</w:t>
      </w:r>
      <w:r w:rsidRPr="009F365F">
        <w:t>lent unit.</w:t>
      </w:r>
    </w:p>
    <w:p w:rsidR="00000000" w:rsidRPr="009F365F" w:rsidP="009F365F">
      <w:pPr>
        <w:pStyle w:val="Heading1"/>
      </w:pPr>
      <w:bookmarkStart w:id="6" w:name="O_820829"/>
      <w:bookmarkEnd w:id="6"/>
      <w:r w:rsidRPr="009F365F">
        <w:t>Links</w:t>
      </w:r>
    </w:p>
    <w:p w:rsidR="00000000" w:rsidRPr="009F365F" w:rsidP="0057457B">
      <w:pPr>
        <w:pStyle w:val="BodyText"/>
      </w:pPr>
      <w:r w:rsidRPr="009F365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54786B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9F365F" w:rsidP="009F365F"/>
    <w:sectPr w:rsidSect="009F365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5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5F" w:rsidRPr="0057457B" w:rsidP="0057457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5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7B" w:rsidP="009F365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7457B" w:rsidP="009F365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7457B" w:rsidP="009F365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5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7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F365F" w:rsidRPr="0057457B" w:rsidP="0057457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365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7457B" w:rsidRPr="002D2AF8" w:rsidP="009F365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HLTENN022 Contribute to the registration, eligibility and assessment of donors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18 March 2021</w:t>
    </w:r>
    <w:r>
      <w:fldChar w:fldCharType="end"/>
    </w:r>
  </w:p>
  <w:p w:rsidR="0057457B" w:rsidP="009F365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F365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F365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F365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F365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F365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F365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F365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F365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F365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F365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F365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F365F"/>
  </w:style>
  <w:style w:type="character" w:customStyle="1" w:styleId="Heading1Char">
    <w:name w:val="Heading 1 Char"/>
    <w:basedOn w:val="DefaultParagraphFont"/>
    <w:link w:val="Heading1"/>
    <w:rsid w:val="009F365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F365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F365F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9F365F"/>
    <w:rPr>
      <w:b/>
      <w:spacing w:val="0"/>
    </w:rPr>
  </w:style>
  <w:style w:type="character" w:styleId="Emphasis">
    <w:name w:val="Emphasis"/>
    <w:basedOn w:val="DefaultParagraphFont"/>
    <w:qFormat/>
    <w:rsid w:val="009F365F"/>
    <w:rPr>
      <w:i/>
    </w:rPr>
  </w:style>
  <w:style w:type="paragraph" w:customStyle="1" w:styleId="SuperHeading">
    <w:name w:val="SuperHeading"/>
    <w:basedOn w:val="Normal"/>
    <w:rsid w:val="009F365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F365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F365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F365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F365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F3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F365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F3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F365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F365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F365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F365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F365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F365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F365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F365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F365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F365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F365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F365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F365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9F365F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9F365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F365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F365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F365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F365F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F365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F365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F365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F365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F365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F365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F365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F365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F365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F365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F365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F365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F365F"/>
  </w:style>
  <w:style w:type="paragraph" w:styleId="TableofFigures">
    <w:name w:val="table of figures"/>
    <w:basedOn w:val="Normal"/>
    <w:next w:val="Normal"/>
    <w:semiHidden/>
    <w:rsid w:val="009F365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F365F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9F365F"/>
    <w:rPr>
      <w:rFonts w:ascii="Wingdings" w:hAnsi="Wingdings"/>
    </w:rPr>
  </w:style>
  <w:style w:type="paragraph" w:customStyle="1" w:styleId="TableHeading">
    <w:name w:val="Table Heading"/>
    <w:basedOn w:val="HeadingBase"/>
    <w:rsid w:val="009F365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F365F"/>
    <w:rPr>
      <w:color w:val="0033CC"/>
      <w:u w:val="none"/>
    </w:rPr>
  </w:style>
  <w:style w:type="paragraph" w:customStyle="1" w:styleId="BodyTextRight">
    <w:name w:val="Body Text Right"/>
    <w:basedOn w:val="BodyText"/>
    <w:rsid w:val="009F365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F365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F365F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F365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F365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F365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F365F"/>
    <w:rPr>
      <w:sz w:val="32"/>
    </w:rPr>
  </w:style>
  <w:style w:type="paragraph" w:customStyle="1" w:styleId="HeadingProcedure">
    <w:name w:val="Heading Procedure"/>
    <w:basedOn w:val="HeadingBase"/>
    <w:next w:val="Normal"/>
    <w:rsid w:val="009F365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F365F"/>
    <w:pPr>
      <w:spacing w:before="60" w:after="60"/>
    </w:pPr>
  </w:style>
  <w:style w:type="paragraph" w:styleId="ListContinue">
    <w:name w:val="List Continue"/>
    <w:basedOn w:val="List"/>
    <w:rsid w:val="009F365F"/>
    <w:pPr>
      <w:ind w:firstLine="0"/>
    </w:pPr>
  </w:style>
  <w:style w:type="paragraph" w:customStyle="1" w:styleId="ListNote">
    <w:name w:val="List Note"/>
    <w:basedOn w:val="List"/>
    <w:rsid w:val="009F365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F365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F365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F365F"/>
    <w:rPr>
      <w:rFonts w:ascii="Courier New" w:hAnsi="Courier New"/>
    </w:rPr>
  </w:style>
  <w:style w:type="paragraph" w:customStyle="1" w:styleId="NoteBullet">
    <w:name w:val="Note Bullet"/>
    <w:basedOn w:val="Note"/>
    <w:rsid w:val="009F365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F365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F365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F365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F365F"/>
    <w:pPr>
      <w:numPr>
        <w:numId w:val="9"/>
      </w:numPr>
    </w:pPr>
  </w:style>
  <w:style w:type="paragraph" w:styleId="PlainText">
    <w:name w:val="Plain Text"/>
    <w:basedOn w:val="Normal"/>
    <w:link w:val="PlainTextChar"/>
    <w:rsid w:val="009F365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F365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F365F"/>
    <w:rPr>
      <w:b/>
      <w:smallCaps/>
    </w:rPr>
  </w:style>
  <w:style w:type="paragraph" w:customStyle="1" w:styleId="TableListNumber">
    <w:name w:val="Table List Number"/>
    <w:basedOn w:val="ListNumber"/>
    <w:rsid w:val="009F365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F365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F365F"/>
    <w:pPr>
      <w:numPr>
        <w:numId w:val="7"/>
      </w:numPr>
    </w:pPr>
  </w:style>
  <w:style w:type="paragraph" w:customStyle="1" w:styleId="ListAlpha2">
    <w:name w:val="List Alpha 2"/>
    <w:basedOn w:val="List2"/>
    <w:rsid w:val="009F365F"/>
    <w:pPr>
      <w:numPr>
        <w:numId w:val="6"/>
      </w:numPr>
    </w:pPr>
  </w:style>
  <w:style w:type="paragraph" w:styleId="List2">
    <w:name w:val="List 2"/>
    <w:basedOn w:val="BodyText"/>
    <w:rsid w:val="009F365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F365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F365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F365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F365F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F365F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9F365F"/>
    <w:pPr>
      <w:numPr>
        <w:numId w:val="2"/>
      </w:numPr>
    </w:pPr>
  </w:style>
  <w:style w:type="paragraph" w:styleId="ListContinue2">
    <w:name w:val="List Continue 2"/>
    <w:basedOn w:val="List2"/>
    <w:rsid w:val="009F365F"/>
    <w:pPr>
      <w:ind w:firstLine="0"/>
    </w:pPr>
  </w:style>
  <w:style w:type="paragraph" w:styleId="ListContinue3">
    <w:name w:val="List Continue 3"/>
    <w:basedOn w:val="List3"/>
    <w:rsid w:val="009F365F"/>
    <w:pPr>
      <w:ind w:left="1021" w:firstLine="0"/>
    </w:pPr>
  </w:style>
  <w:style w:type="paragraph" w:styleId="ListContinue4">
    <w:name w:val="List Continue 4"/>
    <w:basedOn w:val="List4"/>
    <w:rsid w:val="009F365F"/>
    <w:pPr>
      <w:ind w:firstLine="0"/>
    </w:pPr>
  </w:style>
  <w:style w:type="paragraph" w:styleId="ListContinue5">
    <w:name w:val="List Continue 5"/>
    <w:basedOn w:val="List5"/>
    <w:rsid w:val="009F365F"/>
    <w:pPr>
      <w:ind w:firstLine="0"/>
    </w:pPr>
  </w:style>
  <w:style w:type="paragraph" w:styleId="ListNumber3">
    <w:name w:val="List Number 3"/>
    <w:basedOn w:val="List3"/>
    <w:rsid w:val="009F365F"/>
    <w:pPr>
      <w:numPr>
        <w:numId w:val="3"/>
      </w:numPr>
    </w:pPr>
  </w:style>
  <w:style w:type="paragraph" w:styleId="ListNumber4">
    <w:name w:val="List Number 4"/>
    <w:basedOn w:val="List4"/>
    <w:rsid w:val="009F365F"/>
    <w:pPr>
      <w:numPr>
        <w:numId w:val="4"/>
      </w:numPr>
    </w:pPr>
  </w:style>
  <w:style w:type="paragraph" w:styleId="ListNumber5">
    <w:name w:val="List Number 5"/>
    <w:basedOn w:val="List5"/>
    <w:rsid w:val="009F365F"/>
    <w:pPr>
      <w:numPr>
        <w:numId w:val="5"/>
      </w:numPr>
    </w:pPr>
  </w:style>
  <w:style w:type="paragraph" w:styleId="BlockText">
    <w:name w:val="Block Text"/>
    <w:basedOn w:val="Normal"/>
    <w:rsid w:val="009F365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F365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F365F"/>
    <w:rPr>
      <w:sz w:val="16"/>
      <w:vertAlign w:val="superscript"/>
    </w:rPr>
  </w:style>
  <w:style w:type="character" w:customStyle="1" w:styleId="Symbols">
    <w:name w:val="Symbols"/>
    <w:basedOn w:val="DefaultParagraphFont"/>
    <w:rsid w:val="009F365F"/>
    <w:rPr>
      <w:rFonts w:ascii="Symbol" w:hAnsi="Symbol"/>
    </w:rPr>
  </w:style>
  <w:style w:type="character" w:customStyle="1" w:styleId="MenuOptions">
    <w:name w:val="Menu Options"/>
    <w:basedOn w:val="DefaultParagraphFont"/>
    <w:rsid w:val="009F365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F365F"/>
    <w:rPr>
      <w:b/>
    </w:rPr>
  </w:style>
  <w:style w:type="character" w:customStyle="1" w:styleId="Underlined">
    <w:name w:val="Underlined"/>
    <w:basedOn w:val="DefaultParagraphFont"/>
    <w:rsid w:val="009F365F"/>
    <w:rPr>
      <w:u w:val="single"/>
    </w:rPr>
  </w:style>
  <w:style w:type="paragraph" w:customStyle="1" w:styleId="TableBodyTextRight">
    <w:name w:val="Table Body Text Right"/>
    <w:basedOn w:val="TableBodyText"/>
    <w:rsid w:val="009F365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F365F"/>
    <w:rPr>
      <w:sz w:val="18"/>
    </w:rPr>
  </w:style>
  <w:style w:type="paragraph" w:customStyle="1" w:styleId="BodySmallRight">
    <w:name w:val="Body Small Right"/>
    <w:basedOn w:val="BodyTextRight"/>
    <w:rsid w:val="009F365F"/>
    <w:rPr>
      <w:sz w:val="18"/>
      <w:szCs w:val="18"/>
    </w:rPr>
  </w:style>
  <w:style w:type="paragraph" w:customStyle="1" w:styleId="MarginEdition">
    <w:name w:val="Margin Edition"/>
    <w:basedOn w:val="MarginNote"/>
    <w:rsid w:val="009F365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F365F"/>
    <w:rPr>
      <w:sz w:val="2"/>
      <w:szCs w:val="2"/>
    </w:rPr>
  </w:style>
  <w:style w:type="character" w:customStyle="1" w:styleId="Small">
    <w:name w:val="Small"/>
    <w:basedOn w:val="DefaultParagraphFont"/>
    <w:rsid w:val="009F365F"/>
    <w:rPr>
      <w:sz w:val="16"/>
    </w:rPr>
  </w:style>
  <w:style w:type="paragraph" w:customStyle="1" w:styleId="WideTable">
    <w:name w:val="Wide Table"/>
    <w:basedOn w:val="Normal"/>
    <w:rsid w:val="009F365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F365F"/>
  </w:style>
  <w:style w:type="paragraph" w:styleId="Quote">
    <w:name w:val="Quote"/>
    <w:basedOn w:val="Heading1"/>
    <w:link w:val="QuoteChar"/>
    <w:qFormat/>
    <w:rsid w:val="009F365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F365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F365F"/>
    <w:pPr>
      <w:pageBreakBefore/>
    </w:pPr>
  </w:style>
  <w:style w:type="paragraph" w:customStyle="1" w:styleId="Border">
    <w:name w:val="Border"/>
    <w:basedOn w:val="Normal"/>
    <w:qFormat/>
    <w:rsid w:val="009F365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F365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F365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F365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F365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F365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F365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F365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F365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F365F"/>
    <w:rPr>
      <w:u w:val="single"/>
    </w:rPr>
  </w:style>
  <w:style w:type="character" w:customStyle="1" w:styleId="BoldandItalics">
    <w:name w:val="Bold and Italics"/>
    <w:qFormat/>
    <w:rsid w:val="009F365F"/>
    <w:rPr>
      <w:b/>
      <w:i/>
      <w:u w:val="none"/>
    </w:rPr>
  </w:style>
  <w:style w:type="paragraph" w:styleId="BalloonText">
    <w:name w:val="Balloon Text"/>
    <w:basedOn w:val="Normal"/>
    <w:link w:val="BalloonTextChar"/>
    <w:rsid w:val="009F365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F365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F365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F365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F365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F365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F365F"/>
    <w:pPr>
      <w:spacing w:before="0" w:after="0"/>
    </w:pPr>
  </w:style>
  <w:style w:type="paragraph" w:customStyle="1" w:styleId="BodyTextBold">
    <w:name w:val="Body Text Bold"/>
    <w:basedOn w:val="BodyText"/>
    <w:qFormat/>
    <w:rsid w:val="009F365F"/>
    <w:rPr>
      <w:b/>
    </w:rPr>
  </w:style>
  <w:style w:type="character" w:styleId="Hyperlink">
    <w:name w:val="Hyperlink"/>
    <w:basedOn w:val="DefaultParagraphFont"/>
    <w:uiPriority w:val="99"/>
    <w:unhideWhenUsed/>
    <w:rsid w:val="0057457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592</Words>
  <Characters>3686</Characters>
  <Application>Microsoft Office Word</Application>
  <DocSecurity>0</DocSecurity>
  <Lines>115</Lines>
  <Paragraphs>51</Paragraphs>
  <ScaleCrop>false</ScaleCrop>
  <Company>Author-it Software Corporation Ltd.</Company>
  <LinksUpToDate>false</LinksUpToDate>
  <CharactersWithSpaces>4227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HLTENN022 Contribute to the registration, eligibility and assessment of donors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2021-03-18T05:39:00Z</dcterms:created>
  <dcterms:modified xsi:type="dcterms:W3CDTF">2021-03-18T05:39:00Z</dcterms:modified>
</cp:coreProperties>
</file>