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9D7" w:rsidP="006819D7">
      <w:pPr>
        <w:pStyle w:val="Title"/>
      </w:pPr>
      <w:r>
        <w:fldChar w:fldCharType="begin"/>
      </w:r>
      <w:r>
        <w:instrText xml:space="preserve"> TITLE   \* MERGEFORMAT </w:instrText>
      </w:r>
      <w:r>
        <w:fldChar w:fldCharType="separate"/>
      </w:r>
      <w:r>
        <w:t>HLTENN022 Contribute to the registration, eligibility and assessment of donors</w:t>
      </w:r>
      <w:r>
        <w:fldChar w:fldCharType="end"/>
      </w:r>
    </w:p>
    <w:p w:rsidR="006819D7" w:rsidP="006819D7">
      <w:pPr>
        <w:pStyle w:val="Version"/>
        <w:sectPr w:rsidSect="002F2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E54" w:rsidP="002F2E54">
      <w:pPr>
        <w:pStyle w:val="SuperHeading"/>
      </w:pPr>
      <w:r w:rsidRPr="002F2E54">
        <w:t>HLTENN022 Contribute to the registration, eligibility and assessment of donors</w:t>
      </w:r>
    </w:p>
    <w:p w:rsidR="00000000" w:rsidRPr="002F2E54" w:rsidP="002F2E54">
      <w:pPr>
        <w:pStyle w:val="Heading1"/>
      </w:pPr>
      <w:bookmarkStart w:id="1" w:name="O_820814"/>
      <w:bookmarkEnd w:id="1"/>
      <w:r w:rsidRPr="002F2E54">
        <w:t>Modification History</w:t>
      </w:r>
    </w:p>
    <w:tbl>
      <w:tblPr>
        <w:tblW w:w="0" w:type="auto"/>
        <w:tblLayout w:type="fixed"/>
        <w:tblCellMar>
          <w:left w:w="62" w:type="dxa"/>
          <w:right w:w="62" w:type="dxa"/>
        </w:tblCellMar>
        <w:tblLook w:val="0000"/>
      </w:tblPr>
      <w:tblGrid>
        <w:gridCol w:w="2790"/>
        <w:gridCol w:w="6344"/>
      </w:tblGrid>
      <w:tr w:rsidTr="002F2E5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54" w:rsidP="002F2E54">
            <w:pPr>
              <w:pStyle w:val="BodyText"/>
            </w:pPr>
            <w:r w:rsidRPr="002F2E5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54">
            <w:pPr>
              <w:pStyle w:val="BodyText"/>
              <w:rPr>
                <w:lang w:val="en-NZ"/>
              </w:rPr>
            </w:pPr>
            <w:r w:rsidRPr="002F2E54">
              <w:rPr>
                <w:rStyle w:val="SpecialBold"/>
              </w:rPr>
              <w:t>Comments</w:t>
            </w:r>
          </w:p>
        </w:tc>
      </w:tr>
      <w:tr w:rsidTr="002F2E5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54">
            <w:pPr>
              <w:pStyle w:val="BodyText"/>
              <w:rPr>
                <w:lang w:val="en-NZ"/>
              </w:rPr>
            </w:pPr>
            <w:r w:rsidRPr="002F2E5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54" w:rsidP="002F2E54">
            <w:pPr>
              <w:pStyle w:val="BodyText"/>
            </w:pPr>
            <w:r w:rsidRPr="002F2E54">
              <w:t xml:space="preserve">This version was released in </w:t>
            </w:r>
            <w:r w:rsidRPr="002F2E54">
              <w:rPr>
                <w:rStyle w:val="Emphasis"/>
              </w:rPr>
              <w:t>HLT Health Training Package release 3.0</w:t>
            </w:r>
            <w:r w:rsidRPr="002F2E54">
              <w:t xml:space="preserve"> and meets the requirements of the 2012 Standards for Training Packages.</w:t>
            </w:r>
          </w:p>
          <w:p w:rsidR="00000000" w:rsidRPr="002F2E54" w:rsidP="002F2E54">
            <w:pPr>
              <w:pStyle w:val="BodyText"/>
            </w:pPr>
            <w:r w:rsidRPr="002F2E54">
              <w:t>Merged HLTEN521B and HLTEN522C. Significant changes to the elements and performance criteria. New evidence requirements for assessment, including volume and frequency requirements. Re</w:t>
            </w:r>
            <w:r w:rsidRPr="002F2E54">
              <w:t>moved pre-requisites. Significant change to knowledge evidence.</w:t>
            </w:r>
          </w:p>
        </w:tc>
      </w:tr>
    </w:tbl>
    <w:p w:rsidR="00000000" w:rsidRPr="002F2E54" w:rsidP="002F2E54">
      <w:pPr>
        <w:pStyle w:val="BodyText"/>
      </w:pPr>
    </w:p>
    <w:p w:rsidR="00000000" w:rsidRPr="002F2E54" w:rsidP="002F2E54">
      <w:pPr>
        <w:pStyle w:val="AllowPageBreak"/>
      </w:pPr>
    </w:p>
    <w:p w:rsidR="00000000" w:rsidRPr="002F2E54" w:rsidP="002F2E54">
      <w:pPr>
        <w:pStyle w:val="Heading1"/>
      </w:pPr>
      <w:bookmarkStart w:id="2" w:name="O_820815"/>
      <w:bookmarkEnd w:id="2"/>
      <w:r w:rsidRPr="002F2E54">
        <w:t>Application</w:t>
      </w:r>
    </w:p>
    <w:p w:rsidR="00000000" w:rsidRPr="002F2E54" w:rsidP="006819D7">
      <w:pPr>
        <w:pStyle w:val="BodyText"/>
      </w:pPr>
      <w:r w:rsidRPr="002F2E54">
        <w:t>This unit describes the skills and knowledge required to register and assess blood donors for whole blood, red cells, platelets, plasma and other blood component</w:t>
      </w:r>
      <w:r w:rsidRPr="002F2E54">
        <w:t>s donated as whole blood or through the process of apheresis. It does not include haemoglobin testing.</w:t>
      </w:r>
    </w:p>
    <w:p w:rsidR="00000000" w:rsidRPr="002F2E54" w:rsidP="006819D7">
      <w:pPr>
        <w:pStyle w:val="BodyText"/>
      </w:pPr>
      <w:r w:rsidRPr="002F2E54">
        <w:t>This unit applies to enrolled nursing work carried out in consultation and collaboration with registered nurses, and under supervisory arrangements alig</w:t>
      </w:r>
      <w:r w:rsidRPr="002F2E54">
        <w:t xml:space="preserve">ned to the Nursing and Midwifery Board of Australia regulatory authority legislative requirements. </w:t>
      </w:r>
    </w:p>
    <w:p w:rsidR="00000000" w:rsidRPr="006819D7" w:rsidP="006819D7">
      <w:pPr>
        <w:pStyle w:val="BodyText"/>
        <w:rPr>
          <w:i/>
        </w:rPr>
      </w:pPr>
      <w:r w:rsidRPr="006819D7">
        <w:rPr>
          <w:rStyle w:val="Emphasis"/>
        </w:rPr>
        <w:t>The skills in this unit must be applied in accordance with Commonwealth and State/Territory legislation, Australian/New Zealand standards and industry cod</w:t>
      </w:r>
      <w:r w:rsidRPr="006819D7">
        <w:rPr>
          <w:rStyle w:val="Emphasis"/>
        </w:rPr>
        <w:t>es of practice.</w:t>
      </w:r>
    </w:p>
    <w:p w:rsidR="00000000" w:rsidRPr="002F2E54" w:rsidP="002F2E54">
      <w:pPr>
        <w:pStyle w:val="Heading1"/>
      </w:pPr>
      <w:bookmarkStart w:id="3" w:name="O_820819"/>
      <w:bookmarkEnd w:id="3"/>
      <w:r w:rsidRPr="002F2E54">
        <w:t>Elements and Performance Criteria</w:t>
      </w:r>
    </w:p>
    <w:tbl>
      <w:tblPr>
        <w:tblW w:w="0" w:type="auto"/>
        <w:tblLayout w:type="fixed"/>
        <w:tblCellMar>
          <w:left w:w="62" w:type="dxa"/>
          <w:right w:w="62" w:type="dxa"/>
        </w:tblCellMar>
        <w:tblLook w:val="0000"/>
      </w:tblPr>
      <w:tblGrid>
        <w:gridCol w:w="2708"/>
        <w:gridCol w:w="5535"/>
      </w:tblGrid>
      <w:tr w:rsidTr="002F2E54">
        <w:tblPrEx>
          <w:tblW w:w="0" w:type="auto"/>
          <w:tblLayout w:type="fixed"/>
          <w:tblCellMar>
            <w:left w:w="62" w:type="dxa"/>
            <w:right w:w="62" w:type="dxa"/>
          </w:tblCellMar>
          <w:tblLook w:val="0000"/>
        </w:tblPrEx>
        <w:trPr>
          <w:trHeight w:val="99"/>
          <w:tblHeader/>
        </w:trPr>
        <w:tc>
          <w:tcPr>
            <w:tcW w:w="2708" w:type="dxa"/>
            <w:tcBorders>
              <w:top w:val="nil"/>
              <w:left w:val="nil"/>
              <w:bottom w:val="nil"/>
              <w:right w:val="nil"/>
            </w:tcBorders>
            <w:tcMar>
              <w:top w:w="0" w:type="dxa"/>
              <w:left w:w="62" w:type="dxa"/>
              <w:bottom w:w="0" w:type="dxa"/>
              <w:right w:w="62" w:type="dxa"/>
            </w:tcMar>
          </w:tcPr>
          <w:p w:rsidR="00000000" w:rsidRPr="002F2E54" w:rsidP="002F2E54">
            <w:pPr>
              <w:pStyle w:val="BodyText"/>
            </w:pPr>
            <w:r w:rsidRPr="002F2E54">
              <w:rPr>
                <w:rStyle w:val="SpecialBold"/>
              </w:rPr>
              <w:t>ELEMENT</w:t>
            </w:r>
          </w:p>
        </w:tc>
        <w:tc>
          <w:tcPr>
            <w:tcW w:w="5535" w:type="dxa"/>
            <w:tcBorders>
              <w:top w:val="nil"/>
              <w:left w:val="nil"/>
              <w:bottom w:val="nil"/>
              <w:right w:val="nil"/>
            </w:tcBorders>
            <w:tcMar>
              <w:top w:w="0" w:type="dxa"/>
              <w:left w:w="62" w:type="dxa"/>
              <w:bottom w:w="0" w:type="dxa"/>
              <w:right w:w="62" w:type="dxa"/>
            </w:tcMar>
          </w:tcPr>
          <w:p w:rsidR="00000000" w:rsidP="002F2E54">
            <w:pPr>
              <w:pStyle w:val="BodyText"/>
              <w:rPr>
                <w:lang w:val="en-NZ"/>
              </w:rPr>
            </w:pPr>
            <w:r w:rsidRPr="002F2E54">
              <w:rPr>
                <w:rStyle w:val="SpecialBold"/>
              </w:rPr>
              <w:t>PERFORMANCE CRITERIA</w:t>
            </w:r>
          </w:p>
        </w:tc>
      </w:tr>
      <w:tr w:rsidTr="002F2E54">
        <w:tblPrEx>
          <w:tblW w:w="0" w:type="auto"/>
          <w:tblLayout w:type="fixed"/>
          <w:tblCellMar>
            <w:left w:w="62" w:type="dxa"/>
            <w:right w:w="62" w:type="dxa"/>
          </w:tblCellMar>
          <w:tblLook w:val="0000"/>
        </w:tblPrEx>
        <w:trPr>
          <w:trHeight w:val="99"/>
          <w:tblHeader/>
        </w:trPr>
        <w:tc>
          <w:tcPr>
            <w:tcW w:w="2708" w:type="dxa"/>
            <w:tcBorders>
              <w:top w:val="nil"/>
              <w:left w:val="nil"/>
              <w:bottom w:val="nil"/>
              <w:right w:val="nil"/>
            </w:tcBorders>
            <w:tcMar>
              <w:top w:w="0" w:type="dxa"/>
              <w:left w:w="62" w:type="dxa"/>
              <w:bottom w:w="0" w:type="dxa"/>
              <w:right w:w="62" w:type="dxa"/>
            </w:tcMar>
          </w:tcPr>
          <w:p w:rsidR="00000000" w:rsidRPr="002F2E54" w:rsidP="002F2E54">
            <w:pPr>
              <w:pStyle w:val="BodyText"/>
            </w:pPr>
            <w:r w:rsidRPr="002F2E54">
              <w:rPr>
                <w:rStyle w:val="Emphasis"/>
              </w:rPr>
              <w:t>Elements define the essential outcomes</w:t>
            </w:r>
          </w:p>
        </w:tc>
        <w:tc>
          <w:tcPr>
            <w:tcW w:w="5535" w:type="dxa"/>
            <w:tcBorders>
              <w:top w:val="nil"/>
              <w:left w:val="nil"/>
              <w:bottom w:val="nil"/>
              <w:right w:val="nil"/>
            </w:tcBorders>
            <w:tcMar>
              <w:top w:w="0" w:type="dxa"/>
              <w:left w:w="62" w:type="dxa"/>
              <w:bottom w:w="0" w:type="dxa"/>
              <w:right w:w="62" w:type="dxa"/>
            </w:tcMar>
          </w:tcPr>
          <w:p w:rsidR="00000000" w:rsidP="002F2E54">
            <w:pPr>
              <w:pStyle w:val="BodyText"/>
              <w:rPr>
                <w:lang w:val="en-NZ"/>
              </w:rPr>
            </w:pPr>
            <w:r w:rsidRPr="002F2E54">
              <w:rPr>
                <w:rStyle w:val="Emphasis"/>
              </w:rPr>
              <w:t>Performance criteria describe the performance needed to demonstrate achievement of the element.</w:t>
            </w:r>
          </w:p>
        </w:tc>
      </w:tr>
      <w:tr w:rsidTr="002F2E54">
        <w:tblPrEx>
          <w:tblW w:w="0" w:type="auto"/>
          <w:tblLayout w:type="fixed"/>
          <w:tblCellMar>
            <w:left w:w="62" w:type="dxa"/>
            <w:right w:w="62" w:type="dxa"/>
          </w:tblCellMar>
          <w:tblLook w:val="0000"/>
        </w:tblPrEx>
        <w:trPr>
          <w:trHeight w:val="99"/>
        </w:trPr>
        <w:tc>
          <w:tcPr>
            <w:tcW w:w="2708" w:type="dxa"/>
            <w:tcBorders>
              <w:top w:val="nil"/>
              <w:left w:val="nil"/>
              <w:bottom w:val="nil"/>
              <w:right w:val="nil"/>
            </w:tcBorders>
            <w:tcMar>
              <w:top w:w="0" w:type="dxa"/>
              <w:left w:w="62" w:type="dxa"/>
              <w:bottom w:w="0" w:type="dxa"/>
              <w:right w:w="62" w:type="dxa"/>
            </w:tcMar>
          </w:tcPr>
          <w:p w:rsidR="00000000" w:rsidP="002F2E54">
            <w:pPr>
              <w:pStyle w:val="BodyText"/>
              <w:rPr>
                <w:lang w:val="en-NZ"/>
              </w:rPr>
            </w:pPr>
            <w:r w:rsidRPr="002F2E54">
              <w:t>1. Register a donor giving blood and blood components</w:t>
            </w:r>
          </w:p>
        </w:tc>
        <w:tc>
          <w:tcPr>
            <w:tcW w:w="5535" w:type="dxa"/>
            <w:tcBorders>
              <w:top w:val="nil"/>
              <w:left w:val="nil"/>
              <w:bottom w:val="nil"/>
              <w:right w:val="nil"/>
            </w:tcBorders>
            <w:tcMar>
              <w:top w:w="0" w:type="dxa"/>
              <w:left w:w="62" w:type="dxa"/>
              <w:bottom w:w="0" w:type="dxa"/>
              <w:right w:w="62" w:type="dxa"/>
            </w:tcMar>
          </w:tcPr>
          <w:p w:rsidR="00000000" w:rsidRPr="002F2E54" w:rsidP="002F2E54">
            <w:pPr>
              <w:pStyle w:val="BodyText"/>
            </w:pPr>
            <w:r w:rsidRPr="002F2E54">
              <w:t>1.1 Identify whether the donor is a new, lapsed or regular donor and use appropriate documentation according to information gained</w:t>
            </w:r>
          </w:p>
          <w:p w:rsidR="00000000" w:rsidRPr="002F2E54" w:rsidP="002F2E54">
            <w:pPr>
              <w:pStyle w:val="BodyText"/>
            </w:pPr>
            <w:r w:rsidRPr="002F2E54">
              <w:t xml:space="preserve">1.2 Use eligibility assessment tools in an appropriate manner and at a </w:t>
            </w:r>
            <w:r w:rsidRPr="002F2E54">
              <w:t xml:space="preserve">level and pace that elicits informative </w:t>
            </w:r>
            <w:r w:rsidRPr="002F2E54">
              <w:t>responses</w:t>
            </w:r>
          </w:p>
          <w:p w:rsidR="00000000" w:rsidRPr="002F2E54" w:rsidP="002F2E54">
            <w:pPr>
              <w:pStyle w:val="BodyText"/>
            </w:pPr>
            <w:r w:rsidRPr="002F2E54">
              <w:t>1.3 Check donor records against responses, and identify and record discrepancies, inconsistencies, omissions and ambiguities in information, and report to designated personnel</w:t>
            </w:r>
          </w:p>
          <w:p w:rsidR="00000000" w:rsidRPr="002F2E54" w:rsidP="002F2E54">
            <w:pPr>
              <w:pStyle w:val="BodyText"/>
            </w:pPr>
            <w:r w:rsidRPr="002F2E54">
              <w:t>1.4 Respond to the donor’s que</w:t>
            </w:r>
            <w:r w:rsidRPr="002F2E54">
              <w:t xml:space="preserve">stions and, before seeking their consent, seek feedback from the donor to confirm that they understand the nature and purpose of procedures </w:t>
            </w:r>
          </w:p>
          <w:p w:rsidR="00000000" w:rsidRPr="002F2E54" w:rsidP="002F2E54">
            <w:pPr>
              <w:pStyle w:val="BodyText"/>
            </w:pPr>
            <w:r w:rsidRPr="002F2E54">
              <w:t xml:space="preserve">1.5 Record donor information clearly and accurately into the donor record, including the donor decision and signed </w:t>
            </w:r>
            <w:r w:rsidRPr="002F2E54">
              <w:t>consent</w:t>
            </w:r>
          </w:p>
          <w:p w:rsidR="00000000" w:rsidRPr="002F2E54" w:rsidP="002F2E54">
            <w:pPr>
              <w:pStyle w:val="BodyText"/>
            </w:pPr>
            <w:r w:rsidRPr="002F2E54">
              <w:t>1.6 Refer accurate information to the appropriate person in line with organisation policies and procedures, where donor information indicates unsuitability to donate</w:t>
            </w:r>
          </w:p>
          <w:p w:rsidR="00000000" w:rsidRPr="002F2E54" w:rsidP="002F2E54">
            <w:pPr>
              <w:pStyle w:val="BodyText"/>
            </w:pPr>
            <w:r w:rsidRPr="002F2E54">
              <w:t>1.7 Maintain confidentiality of the donor</w:t>
            </w:r>
          </w:p>
          <w:p w:rsidR="00000000" w:rsidP="002F2E54">
            <w:pPr>
              <w:pStyle w:val="BodyText"/>
              <w:rPr>
                <w:lang w:val="en-NZ"/>
              </w:rPr>
            </w:pPr>
          </w:p>
        </w:tc>
      </w:tr>
      <w:tr w:rsidTr="002F2E54">
        <w:tblPrEx>
          <w:tblW w:w="0" w:type="auto"/>
          <w:tblLayout w:type="fixed"/>
          <w:tblCellMar>
            <w:left w:w="62" w:type="dxa"/>
            <w:right w:w="62" w:type="dxa"/>
          </w:tblCellMar>
          <w:tblLook w:val="0000"/>
        </w:tblPrEx>
        <w:trPr>
          <w:trHeight w:val="99"/>
        </w:trPr>
        <w:tc>
          <w:tcPr>
            <w:tcW w:w="2708" w:type="dxa"/>
            <w:tcBorders>
              <w:top w:val="nil"/>
              <w:left w:val="nil"/>
              <w:bottom w:val="nil"/>
              <w:right w:val="nil"/>
            </w:tcBorders>
            <w:tcMar>
              <w:top w:w="0" w:type="dxa"/>
              <w:left w:w="62" w:type="dxa"/>
              <w:bottom w:w="0" w:type="dxa"/>
              <w:right w:w="62" w:type="dxa"/>
            </w:tcMar>
          </w:tcPr>
          <w:p w:rsidR="00000000" w:rsidP="002F2E54">
            <w:pPr>
              <w:pStyle w:val="BodyText"/>
              <w:rPr>
                <w:lang w:val="en-NZ"/>
              </w:rPr>
            </w:pPr>
            <w:r w:rsidRPr="002F2E54">
              <w:t>2. Assess suitability for blood and bl</w:t>
            </w:r>
            <w:r w:rsidRPr="002F2E54">
              <w:t>ood component donation</w:t>
            </w:r>
          </w:p>
        </w:tc>
        <w:tc>
          <w:tcPr>
            <w:tcW w:w="5535" w:type="dxa"/>
            <w:tcBorders>
              <w:top w:val="nil"/>
              <w:left w:val="nil"/>
              <w:bottom w:val="nil"/>
              <w:right w:val="nil"/>
            </w:tcBorders>
            <w:tcMar>
              <w:top w:w="0" w:type="dxa"/>
              <w:left w:w="62" w:type="dxa"/>
              <w:bottom w:w="0" w:type="dxa"/>
              <w:right w:w="62" w:type="dxa"/>
            </w:tcMar>
          </w:tcPr>
          <w:p w:rsidR="00000000" w:rsidRPr="002F2E54" w:rsidP="002F2E54">
            <w:pPr>
              <w:pStyle w:val="BodyText"/>
            </w:pPr>
            <w:r w:rsidRPr="002F2E54">
              <w:t>2.1 Check the donor against selection criteria requirements for blood and blood component donations</w:t>
            </w:r>
          </w:p>
          <w:p w:rsidR="00000000" w:rsidRPr="002F2E54" w:rsidP="002F2E54">
            <w:pPr>
              <w:pStyle w:val="BodyText"/>
            </w:pPr>
            <w:r w:rsidRPr="002F2E54">
              <w:t>2.2 Provide accurate information about the nature and sequence of session activities appropriate to the donor’s needs and concerns</w:t>
            </w:r>
          </w:p>
          <w:p w:rsidR="00000000" w:rsidRPr="002F2E54" w:rsidP="002F2E54">
            <w:pPr>
              <w:pStyle w:val="BodyText"/>
            </w:pPr>
            <w:r w:rsidRPr="002F2E54">
              <w:t>2.3 Explain clearly and sensitively to the donor where information obtained indicates they may not be able to donate, outlining the reasons for seeking further guidance</w:t>
            </w:r>
          </w:p>
          <w:p w:rsidR="00000000" w:rsidRPr="002F2E54" w:rsidP="002F2E54">
            <w:pPr>
              <w:pStyle w:val="BodyText"/>
            </w:pPr>
            <w:r w:rsidRPr="002F2E54">
              <w:t>2.4 Interpret haematological results to identify variation from normal health status an</w:t>
            </w:r>
            <w:r w:rsidRPr="002F2E54">
              <w:t>d refer to registered nurse</w:t>
            </w:r>
          </w:p>
          <w:p w:rsidR="00000000" w:rsidRPr="002F2E54" w:rsidP="002F2E54">
            <w:pPr>
              <w:pStyle w:val="BodyText"/>
            </w:pPr>
            <w:r w:rsidRPr="002F2E54">
              <w:t>2.5 Determine that ante-cubital veins are easily accessible in both arms and, if not, refer to registered nurse</w:t>
            </w:r>
          </w:p>
          <w:p w:rsidR="00000000" w:rsidP="002F2E54">
            <w:pPr>
              <w:pStyle w:val="BodyText"/>
              <w:rPr>
                <w:lang w:val="en-NZ"/>
              </w:rPr>
            </w:pPr>
          </w:p>
        </w:tc>
      </w:tr>
      <w:tr w:rsidTr="002F2E54">
        <w:tblPrEx>
          <w:tblW w:w="0" w:type="auto"/>
          <w:tblLayout w:type="fixed"/>
          <w:tblCellMar>
            <w:left w:w="62" w:type="dxa"/>
            <w:right w:w="62" w:type="dxa"/>
          </w:tblCellMar>
          <w:tblLook w:val="0000"/>
        </w:tblPrEx>
        <w:trPr>
          <w:trHeight w:val="99"/>
        </w:trPr>
        <w:tc>
          <w:tcPr>
            <w:tcW w:w="2708" w:type="dxa"/>
            <w:tcBorders>
              <w:top w:val="nil"/>
              <w:left w:val="nil"/>
              <w:bottom w:val="nil"/>
              <w:right w:val="nil"/>
            </w:tcBorders>
            <w:tcMar>
              <w:top w:w="0" w:type="dxa"/>
              <w:left w:w="62" w:type="dxa"/>
              <w:bottom w:w="0" w:type="dxa"/>
              <w:right w:w="62" w:type="dxa"/>
            </w:tcMar>
          </w:tcPr>
          <w:p w:rsidR="00000000" w:rsidP="002F2E54">
            <w:pPr>
              <w:pStyle w:val="BodyText"/>
              <w:rPr>
                <w:lang w:val="en-NZ"/>
              </w:rPr>
            </w:pPr>
            <w:r w:rsidRPr="002F2E54">
              <w:t>3. Observe a person’s behaviour before and after donation and report any physical irregularity</w:t>
            </w:r>
          </w:p>
        </w:tc>
        <w:tc>
          <w:tcPr>
            <w:tcW w:w="5535" w:type="dxa"/>
            <w:tcBorders>
              <w:top w:val="nil"/>
              <w:left w:val="nil"/>
              <w:bottom w:val="nil"/>
              <w:right w:val="nil"/>
            </w:tcBorders>
            <w:tcMar>
              <w:top w:w="0" w:type="dxa"/>
              <w:left w:w="62" w:type="dxa"/>
              <w:bottom w:w="0" w:type="dxa"/>
              <w:right w:w="62" w:type="dxa"/>
            </w:tcMar>
          </w:tcPr>
          <w:p w:rsidR="00000000" w:rsidRPr="002F2E54" w:rsidP="002F2E54">
            <w:pPr>
              <w:pStyle w:val="BodyText"/>
            </w:pPr>
            <w:r w:rsidRPr="002F2E54">
              <w:t>3.1 Observe donor b</w:t>
            </w:r>
            <w:r w:rsidRPr="002F2E54">
              <w:t>ehaviour for any physical observations that may indicate a potential situation such as anxiety or fainting</w:t>
            </w:r>
          </w:p>
          <w:p w:rsidR="00000000" w:rsidRPr="002F2E54" w:rsidP="002F2E54">
            <w:pPr>
              <w:pStyle w:val="BodyText"/>
            </w:pPr>
            <w:r w:rsidRPr="002F2E54">
              <w:t xml:space="preserve">3.2 Alert supervising registered nurse and take action in </w:t>
            </w:r>
            <w:r w:rsidRPr="002F2E54">
              <w:t>line with organisation policies and procedures to ensure donor safety</w:t>
            </w:r>
          </w:p>
          <w:p w:rsidR="00000000" w:rsidRPr="002F2E54" w:rsidP="002F2E54">
            <w:pPr>
              <w:pStyle w:val="BodyText"/>
            </w:pPr>
            <w:r w:rsidRPr="002F2E54">
              <w:t>3.3 Document and repo</w:t>
            </w:r>
            <w:r w:rsidRPr="002F2E54">
              <w:t>rt incident to designated person in line with organisation policies and procedures</w:t>
            </w:r>
          </w:p>
        </w:tc>
      </w:tr>
    </w:tbl>
    <w:p w:rsidR="00000000" w:rsidRPr="002F2E54" w:rsidP="002F2E54">
      <w:pPr>
        <w:pStyle w:val="BodyText"/>
      </w:pPr>
    </w:p>
    <w:p w:rsidR="00000000" w:rsidRPr="002F2E54" w:rsidP="002F2E54">
      <w:pPr>
        <w:pStyle w:val="AllowPageBreak"/>
      </w:pPr>
    </w:p>
    <w:p w:rsidR="00000000" w:rsidRPr="002F2E54" w:rsidP="002F2E54">
      <w:pPr>
        <w:pStyle w:val="Heading1"/>
      </w:pPr>
      <w:bookmarkStart w:id="4" w:name="O_820820"/>
      <w:bookmarkEnd w:id="4"/>
      <w:r w:rsidRPr="002F2E54">
        <w:t>Foundation Skills</w:t>
      </w:r>
    </w:p>
    <w:p w:rsidR="00000000" w:rsidRPr="006819D7" w:rsidP="006819D7">
      <w:pPr>
        <w:pStyle w:val="BodyText"/>
        <w:rPr>
          <w:i/>
        </w:rPr>
      </w:pPr>
      <w:r w:rsidRPr="006819D7">
        <w:rPr>
          <w:rStyle w:val="Emphasis"/>
        </w:rPr>
        <w:t>The Foundation Skills describe those required skills (language, literacy, numeracy and employment skills) that are essential to performa</w:t>
      </w:r>
      <w:r w:rsidRPr="006819D7">
        <w:rPr>
          <w:rStyle w:val="Emphasis"/>
        </w:rPr>
        <w:t>nce.</w:t>
      </w:r>
    </w:p>
    <w:p w:rsidR="00000000" w:rsidRPr="002F2E54" w:rsidP="006819D7">
      <w:pPr>
        <w:pStyle w:val="BodyText"/>
      </w:pPr>
      <w:r w:rsidRPr="002F2E54">
        <w:t>Foundation skills essential to performance are explicit in the performance criteria of this unit of competency.</w:t>
      </w:r>
    </w:p>
    <w:p w:rsidR="00000000" w:rsidRPr="002F2E54" w:rsidP="002F2E54">
      <w:pPr>
        <w:pStyle w:val="Heading1"/>
      </w:pPr>
      <w:bookmarkStart w:id="5" w:name="O_820822"/>
      <w:bookmarkEnd w:id="5"/>
      <w:r w:rsidRPr="002F2E54">
        <w:t>Unit Mapping Information</w:t>
      </w:r>
    </w:p>
    <w:p w:rsidR="00000000" w:rsidRPr="002F2E54" w:rsidP="006819D7">
      <w:pPr>
        <w:pStyle w:val="BodyText"/>
      </w:pPr>
      <w:r w:rsidRPr="002F2E54">
        <w:t>No equivalent unit.</w:t>
      </w:r>
    </w:p>
    <w:p w:rsidR="00000000" w:rsidRPr="002F2E54" w:rsidP="002F2E54">
      <w:pPr>
        <w:pStyle w:val="Heading1"/>
      </w:pPr>
      <w:bookmarkStart w:id="6" w:name="O_820829"/>
      <w:bookmarkEnd w:id="6"/>
      <w:r w:rsidRPr="002F2E54">
        <w:t>Links</w:t>
      </w:r>
    </w:p>
    <w:p w:rsidR="00000000" w:rsidRPr="002F2E54" w:rsidP="006819D7">
      <w:pPr>
        <w:pStyle w:val="BodyText"/>
      </w:pPr>
      <w:r w:rsidRPr="002F2E5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5AA6">
        <w:rPr>
          <w:rStyle w:val="Hyperlink"/>
        </w:rPr>
        <w:t>https://vetnet.gov.au/Pages/TrainingDocs.aspx?q=ced1390f-48d9-4ab0-bd50-b015e5485705</w:t>
      </w:r>
      <w:r>
        <w:fldChar w:fldCharType="end"/>
      </w:r>
    </w:p>
    <w:p w:rsidR="00000000" w:rsidRPr="002F2E54" w:rsidP="006819D7">
      <w:pPr>
        <w:pStyle w:val="BodyText"/>
        <w:sectPr w:rsidSect="002F2E54">
          <w:headerReference w:type="default" r:id="rId10"/>
          <w:footerReference w:type="default" r:id="rId11"/>
          <w:pgSz w:w="11908" w:h="16833"/>
          <w:pgMar w:top="1702" w:right="1418" w:bottom="1702" w:left="1418" w:header="992" w:footer="992" w:gutter="0"/>
          <w:cols w:space="720"/>
          <w:noEndnote/>
          <w:docGrid w:linePitch="299"/>
        </w:sectPr>
      </w:pPr>
    </w:p>
    <w:p w:rsidR="00000000" w:rsidRPr="002F2E54" w:rsidP="002F2E54">
      <w:pPr>
        <w:pStyle w:val="SuperHeading"/>
      </w:pPr>
      <w:r w:rsidRPr="002F2E54">
        <w:t>Assessment Requirements for HLTENN022 Contribute to the registr</w:t>
      </w:r>
      <w:r w:rsidRPr="002F2E54">
        <w:t>ation, eligibility and assessment of donors</w:t>
      </w:r>
    </w:p>
    <w:p w:rsidR="00000000" w:rsidRPr="002F2E54" w:rsidP="002F2E54">
      <w:pPr>
        <w:pStyle w:val="Heading1"/>
      </w:pPr>
      <w:bookmarkStart w:id="7" w:name="O_820824"/>
      <w:bookmarkEnd w:id="7"/>
      <w:r w:rsidRPr="002F2E54">
        <w:t>Modification History</w:t>
      </w:r>
    </w:p>
    <w:tbl>
      <w:tblPr>
        <w:tblW w:w="0" w:type="auto"/>
        <w:tblLayout w:type="fixed"/>
        <w:tblCellMar>
          <w:left w:w="62" w:type="dxa"/>
          <w:right w:w="62" w:type="dxa"/>
        </w:tblCellMar>
        <w:tblLook w:val="0000"/>
      </w:tblPr>
      <w:tblGrid>
        <w:gridCol w:w="2790"/>
        <w:gridCol w:w="6344"/>
      </w:tblGrid>
      <w:tr w:rsidTr="002F2E5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54" w:rsidP="002F2E54">
            <w:pPr>
              <w:pStyle w:val="BodyText"/>
            </w:pPr>
            <w:r w:rsidRPr="002F2E5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54">
            <w:pPr>
              <w:pStyle w:val="BodyText"/>
              <w:rPr>
                <w:lang w:val="en-NZ"/>
              </w:rPr>
            </w:pPr>
            <w:r w:rsidRPr="002F2E54">
              <w:rPr>
                <w:rStyle w:val="SpecialBold"/>
              </w:rPr>
              <w:t>Comments</w:t>
            </w:r>
          </w:p>
        </w:tc>
      </w:tr>
      <w:tr w:rsidTr="002F2E5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54">
            <w:pPr>
              <w:pStyle w:val="BodyText"/>
              <w:rPr>
                <w:lang w:val="en-NZ"/>
              </w:rPr>
            </w:pPr>
            <w:r w:rsidRPr="002F2E5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54" w:rsidP="002F2E54">
            <w:pPr>
              <w:pStyle w:val="BodyText"/>
            </w:pPr>
            <w:r w:rsidRPr="002F2E54">
              <w:t xml:space="preserve">This version was released in </w:t>
            </w:r>
            <w:r w:rsidRPr="002F2E54">
              <w:rPr>
                <w:rStyle w:val="Emphasis"/>
              </w:rPr>
              <w:t>HLT Health Training Package release 3.0</w:t>
            </w:r>
            <w:r w:rsidRPr="002F2E54">
              <w:t xml:space="preserve"> and meets the requirements of the 2012 Standards for Training Packages.</w:t>
            </w:r>
          </w:p>
          <w:p w:rsidR="00000000" w:rsidRPr="002F2E54" w:rsidP="002F2E54">
            <w:pPr>
              <w:pStyle w:val="BodyText"/>
            </w:pPr>
            <w:r w:rsidRPr="002F2E54">
              <w:t>Merged</w:t>
            </w:r>
            <w:r w:rsidRPr="002F2E54">
              <w:t xml:space="preserve"> HLTEN521B and HLTEN522C. Significant changes to the elements and performance criteria. New evidence requirements for assessment, including volume and frequency requirements. Removed pre-requisites. Significant change to knowledge evidence.</w:t>
            </w:r>
          </w:p>
        </w:tc>
      </w:tr>
    </w:tbl>
    <w:p w:rsidR="00000000" w:rsidRPr="002F2E54" w:rsidP="002F2E54">
      <w:pPr>
        <w:pStyle w:val="BodyText"/>
      </w:pPr>
    </w:p>
    <w:p w:rsidR="00000000" w:rsidRPr="002F2E54" w:rsidP="002F2E54">
      <w:pPr>
        <w:pStyle w:val="AllowPageBreak"/>
      </w:pPr>
    </w:p>
    <w:p w:rsidR="00000000" w:rsidRPr="002F2E54" w:rsidP="002F2E54">
      <w:pPr>
        <w:pStyle w:val="Heading1"/>
      </w:pPr>
      <w:bookmarkStart w:id="8" w:name="O_820825"/>
      <w:bookmarkEnd w:id="8"/>
      <w:r w:rsidRPr="002F2E54">
        <w:t>Performance Evidence</w:t>
      </w:r>
    </w:p>
    <w:p w:rsidR="00000000" w:rsidRPr="002F2E54" w:rsidP="006819D7">
      <w:pPr>
        <w:pStyle w:val="BodyText"/>
      </w:pPr>
      <w:r w:rsidRPr="002F2E54">
        <w:t>The candidate must show evidence of the ability to complete tasks outlined in elements and performance criteria of this unit, manage tasks and manage contingencies in the context of the job role. There must be evidence that the can</w:t>
      </w:r>
      <w:r w:rsidRPr="002F2E54">
        <w:t xml:space="preserve">didate has: </w:t>
      </w:r>
    </w:p>
    <w:p w:rsidR="00000000" w:rsidRPr="002F2E54" w:rsidP="002F2E54">
      <w:pPr>
        <w:pStyle w:val="ListBullet"/>
      </w:pPr>
      <w:r w:rsidRPr="002F2E54">
        <w:t>undertaken work in adherence with Nursing and Midwifery Board of Australia professional practice standards, codes and guidelines</w:t>
      </w:r>
    </w:p>
    <w:p w:rsidR="00000000" w:rsidRPr="002F2E54" w:rsidP="002F2E54">
      <w:pPr>
        <w:pStyle w:val="ListBullet"/>
      </w:pPr>
      <w:r w:rsidRPr="002F2E54">
        <w:t xml:space="preserve">registered and assessed 3 people as donors for blood or blood products. </w:t>
      </w:r>
    </w:p>
    <w:p w:rsidR="00000000" w:rsidRPr="002F2E54" w:rsidP="002F2E54">
      <w:pPr>
        <w:pStyle w:val="AllowPageBreak"/>
      </w:pPr>
    </w:p>
    <w:p w:rsidR="00000000" w:rsidRPr="002F2E54" w:rsidP="002F2E54">
      <w:pPr>
        <w:pStyle w:val="Heading1"/>
      </w:pPr>
      <w:bookmarkStart w:id="9" w:name="O_820826"/>
      <w:bookmarkEnd w:id="9"/>
      <w:r w:rsidRPr="002F2E54">
        <w:t>Knowledge Evidence</w:t>
      </w:r>
    </w:p>
    <w:p w:rsidR="00000000" w:rsidRPr="002F2E54" w:rsidP="006819D7">
      <w:pPr>
        <w:pStyle w:val="BodyText"/>
      </w:pPr>
      <w:r w:rsidRPr="002F2E54">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2F2E54">
        <w:t xml:space="preserve">of: </w:t>
      </w:r>
    </w:p>
    <w:p w:rsidR="00000000" w:rsidRPr="002F2E54" w:rsidP="002F2E54">
      <w:pPr>
        <w:pStyle w:val="ListBullet"/>
      </w:pPr>
      <w:r w:rsidRPr="002F2E54">
        <w:t>apheresis – the process of ‘skimming off’ the stem cells from blood to be used for transplant or stored in frozen form until needed</w:t>
      </w:r>
    </w:p>
    <w:p w:rsidR="00000000" w:rsidRPr="002F2E54" w:rsidP="002F2E54">
      <w:pPr>
        <w:pStyle w:val="ListBullet"/>
      </w:pPr>
      <w:r w:rsidRPr="002F2E54">
        <w:t>organisation policy and procedures, including standard operating procedures (SOPs)</w:t>
      </w:r>
    </w:p>
    <w:p w:rsidR="00000000" w:rsidRPr="002F2E54" w:rsidP="002F2E54">
      <w:pPr>
        <w:pStyle w:val="ListBullet"/>
      </w:pPr>
      <w:r w:rsidRPr="002F2E54">
        <w:t>documentation and components of don</w:t>
      </w:r>
      <w:r w:rsidRPr="002F2E54">
        <w:t>or declaration form</w:t>
      </w:r>
    </w:p>
    <w:p w:rsidR="00000000" w:rsidRPr="002F2E54" w:rsidP="002F2E54">
      <w:pPr>
        <w:pStyle w:val="ListBullet"/>
      </w:pPr>
      <w:r w:rsidRPr="002F2E54">
        <w:t>importance and potential impact of the quality of the donation, and the reasons for careful selection of donors of blood or blood components including:</w:t>
      </w:r>
    </w:p>
    <w:p w:rsidR="00000000" w:rsidRPr="002F2E54" w:rsidP="002F2E54">
      <w:pPr>
        <w:pStyle w:val="ListBullet2"/>
      </w:pPr>
      <w:r w:rsidRPr="002F2E54">
        <w:t>infectious diseases and their incubation periods</w:t>
      </w:r>
    </w:p>
    <w:p w:rsidR="00000000" w:rsidRPr="002F2E54" w:rsidP="002F2E54">
      <w:pPr>
        <w:pStyle w:val="ListBullet2"/>
      </w:pPr>
      <w:r w:rsidRPr="002F2E54">
        <w:t>age, height and weight</w:t>
      </w:r>
    </w:p>
    <w:p w:rsidR="00000000" w:rsidRPr="002F2E54" w:rsidP="002F2E54">
      <w:pPr>
        <w:pStyle w:val="ListBullet2"/>
      </w:pPr>
      <w:r w:rsidRPr="002F2E54">
        <w:t>health of d</w:t>
      </w:r>
      <w:r w:rsidRPr="002F2E54">
        <w:t>onor including recent surgery, invasive procedures, immunisations, injury or illness</w:t>
      </w:r>
    </w:p>
    <w:p w:rsidR="00000000" w:rsidRPr="002F2E54" w:rsidP="002F2E54">
      <w:pPr>
        <w:pStyle w:val="ListBullet2"/>
      </w:pPr>
      <w:r w:rsidRPr="002F2E54">
        <w:t>family health history</w:t>
      </w:r>
    </w:p>
    <w:p w:rsidR="00000000" w:rsidRPr="002F2E54" w:rsidP="002F2E54">
      <w:pPr>
        <w:pStyle w:val="ListBullet2"/>
      </w:pPr>
      <w:r w:rsidRPr="002F2E54">
        <w:t>frequency of donation</w:t>
      </w:r>
    </w:p>
    <w:p w:rsidR="00000000" w:rsidRPr="002F2E54" w:rsidP="002F2E54">
      <w:pPr>
        <w:pStyle w:val="ListBullet2"/>
      </w:pPr>
      <w:r w:rsidRPr="002F2E54">
        <w:t>geographical locations prior to donation which require special consideration</w:t>
      </w:r>
    </w:p>
    <w:p w:rsidR="00000000" w:rsidRPr="002F2E54" w:rsidP="002F2E54">
      <w:pPr>
        <w:pStyle w:val="ListBullet2"/>
      </w:pPr>
      <w:r w:rsidRPr="002F2E54">
        <w:t>lifestyle</w:t>
      </w:r>
    </w:p>
    <w:p w:rsidR="00000000" w:rsidRPr="002F2E54" w:rsidP="002F2E54">
      <w:pPr>
        <w:pStyle w:val="ListBullet2"/>
      </w:pPr>
      <w:r w:rsidRPr="002F2E54">
        <w:t>medications</w:t>
      </w:r>
    </w:p>
    <w:p w:rsidR="00000000" w:rsidRPr="002F2E54" w:rsidP="002F2E54">
      <w:pPr>
        <w:pStyle w:val="ListBullet2"/>
      </w:pPr>
      <w:r w:rsidRPr="002F2E54">
        <w:t>occupational activities that are considered hazardous</w:t>
      </w:r>
    </w:p>
    <w:p w:rsidR="00000000" w:rsidRPr="002F2E54" w:rsidP="002F2E54">
      <w:pPr>
        <w:pStyle w:val="ListBullet2"/>
      </w:pPr>
      <w:r w:rsidRPr="002F2E54">
        <w:t>recreational activities that are considered hazardous</w:t>
      </w:r>
    </w:p>
    <w:p w:rsidR="00000000" w:rsidRPr="002F2E54" w:rsidP="002F2E54">
      <w:pPr>
        <w:pStyle w:val="ListBullet2"/>
      </w:pPr>
      <w:r w:rsidRPr="002F2E54">
        <w:t>workers compensation</w:t>
      </w:r>
    </w:p>
    <w:p w:rsidR="00000000" w:rsidRPr="002F2E54" w:rsidP="002F2E54">
      <w:pPr>
        <w:pStyle w:val="ListBullet2"/>
      </w:pPr>
      <w:r w:rsidRPr="002F2E54">
        <w:t>safety of blood supply</w:t>
      </w:r>
    </w:p>
    <w:p w:rsidR="00000000" w:rsidRPr="002F2E54" w:rsidP="002F2E54">
      <w:pPr>
        <w:pStyle w:val="ListBullet2"/>
      </w:pPr>
      <w:r w:rsidRPr="002F2E54">
        <w:t>safety of recipients</w:t>
      </w:r>
    </w:p>
    <w:p w:rsidR="00000000" w:rsidRPr="002F2E54" w:rsidP="002F2E54">
      <w:pPr>
        <w:pStyle w:val="ListBullet2"/>
      </w:pPr>
      <w:r w:rsidRPr="002F2E54">
        <w:t>safety of service provided to customers</w:t>
      </w:r>
    </w:p>
    <w:p w:rsidR="00000000" w:rsidRPr="002F2E54" w:rsidP="002F2E54">
      <w:pPr>
        <w:pStyle w:val="ListBullet2"/>
      </w:pPr>
      <w:r w:rsidRPr="002F2E54">
        <w:t>safety of staff</w:t>
      </w:r>
    </w:p>
    <w:p w:rsidR="00000000" w:rsidRPr="002F2E54" w:rsidP="002F2E54">
      <w:pPr>
        <w:pStyle w:val="ListBullet2"/>
      </w:pPr>
      <w:r w:rsidRPr="002F2E54">
        <w:t>production of a quality pro</w:t>
      </w:r>
      <w:r w:rsidRPr="002F2E54">
        <w:t>duct</w:t>
      </w:r>
    </w:p>
    <w:p w:rsidR="00000000" w:rsidRPr="002F2E54" w:rsidP="002F2E54">
      <w:pPr>
        <w:pStyle w:val="ListBullet"/>
      </w:pPr>
      <w:r w:rsidRPr="002F2E54">
        <w:t>types of donations including:</w:t>
      </w:r>
    </w:p>
    <w:p w:rsidR="00000000" w:rsidRPr="002F2E54" w:rsidP="002F2E54">
      <w:pPr>
        <w:pStyle w:val="ListBullet2"/>
      </w:pPr>
      <w:r w:rsidRPr="002F2E54">
        <w:t>plasma</w:t>
      </w:r>
    </w:p>
    <w:p w:rsidR="00000000" w:rsidRPr="002F2E54" w:rsidP="002F2E54">
      <w:pPr>
        <w:pStyle w:val="ListBullet2"/>
      </w:pPr>
      <w:r w:rsidRPr="002F2E54">
        <w:t>platelet</w:t>
      </w:r>
    </w:p>
    <w:p w:rsidR="00000000" w:rsidRPr="002F2E54" w:rsidP="002F2E54">
      <w:pPr>
        <w:pStyle w:val="ListBullet2"/>
      </w:pPr>
      <w:r w:rsidRPr="002F2E54">
        <w:t xml:space="preserve">red blood cell plasma </w:t>
      </w:r>
    </w:p>
    <w:p w:rsidR="00000000" w:rsidRPr="002F2E54" w:rsidP="002F2E54">
      <w:pPr>
        <w:pStyle w:val="ListBullet"/>
      </w:pPr>
      <w:r w:rsidRPr="002F2E54">
        <w:t xml:space="preserve">purpose and use of apheresis donations including timeframe requirements </w:t>
      </w:r>
    </w:p>
    <w:p w:rsidR="00000000" w:rsidRPr="002F2E54" w:rsidP="002F2E54">
      <w:pPr>
        <w:pStyle w:val="ListBullet"/>
      </w:pPr>
      <w:r w:rsidRPr="002F2E54">
        <w:t xml:space="preserve">purpose and use of blood and blood products, including types and functions of infusion and transfusion </w:t>
      </w:r>
    </w:p>
    <w:p w:rsidR="00000000" w:rsidRPr="002F2E54" w:rsidP="002F2E54">
      <w:pPr>
        <w:pStyle w:val="ListBullet"/>
      </w:pPr>
      <w:r w:rsidRPr="002F2E54">
        <w:t>safe disposal, and minimisation of waste of resources resulting from collection of unsuitable donations</w:t>
      </w:r>
    </w:p>
    <w:p w:rsidR="00000000" w:rsidRPr="002F2E54" w:rsidP="002F2E54">
      <w:pPr>
        <w:pStyle w:val="ListBullet"/>
      </w:pPr>
      <w:r w:rsidRPr="002F2E54">
        <w:t>World Health Organisation guidelines including:</w:t>
      </w:r>
    </w:p>
    <w:p w:rsidR="00000000" w:rsidRPr="002F2E54" w:rsidP="002F2E54">
      <w:pPr>
        <w:pStyle w:val="ListBullet2"/>
      </w:pPr>
      <w:r w:rsidRPr="002F2E54">
        <w:t>selection of blood donors</w:t>
      </w:r>
    </w:p>
    <w:p w:rsidR="00000000" w:rsidRPr="002F2E54" w:rsidP="002F2E54">
      <w:pPr>
        <w:pStyle w:val="ListBullet2"/>
      </w:pPr>
      <w:r w:rsidRPr="002F2E54">
        <w:t>international travel and health vaccination requirements</w:t>
      </w:r>
    </w:p>
    <w:p w:rsidR="00000000" w:rsidRPr="002F2E54" w:rsidP="002F2E54">
      <w:pPr>
        <w:pStyle w:val="ListBullet"/>
      </w:pPr>
      <w:r w:rsidRPr="002F2E54">
        <w:t xml:space="preserve">Australian code of </w:t>
      </w:r>
      <w:r w:rsidRPr="002F2E54">
        <w:t>good manufacturing practice for human blood and blood components, human tissues and human cellular therapy products</w:t>
      </w:r>
    </w:p>
    <w:p w:rsidR="00000000" w:rsidRPr="002F2E54" w:rsidP="002F2E54">
      <w:pPr>
        <w:pStyle w:val="ListBullet"/>
      </w:pPr>
      <w:r w:rsidRPr="002F2E54">
        <w:t>Australian Red Cross service – for blood and blood products donations</w:t>
      </w:r>
    </w:p>
    <w:p w:rsidR="00000000" w:rsidRPr="002F2E54" w:rsidP="002F2E54">
      <w:pPr>
        <w:pStyle w:val="ListBullet"/>
      </w:pPr>
      <w:r w:rsidRPr="002F2E54">
        <w:t>monthly index of therapeutic agents (MIMS)</w:t>
      </w:r>
    </w:p>
    <w:p w:rsidR="00000000" w:rsidRPr="002F2E54" w:rsidP="002F2E54">
      <w:pPr>
        <w:pStyle w:val="ListBullet"/>
      </w:pPr>
      <w:r w:rsidRPr="002F2E54">
        <w:t xml:space="preserve">National Blood Transfusion </w:t>
      </w:r>
      <w:r w:rsidRPr="002F2E54">
        <w:t>Committee – safe transfusion practice.</w:t>
      </w:r>
    </w:p>
    <w:p w:rsidR="00000000" w:rsidRPr="002F2E54" w:rsidP="002F2E54">
      <w:pPr>
        <w:pStyle w:val="AllowPageBreak"/>
      </w:pPr>
    </w:p>
    <w:p w:rsidR="00000000" w:rsidRPr="002F2E54" w:rsidP="002F2E54">
      <w:pPr>
        <w:pStyle w:val="Heading1"/>
      </w:pPr>
      <w:bookmarkStart w:id="10" w:name="O_820827"/>
      <w:bookmarkEnd w:id="10"/>
      <w:r w:rsidRPr="002F2E54">
        <w:t>Assessment Conditions</w:t>
      </w:r>
    </w:p>
    <w:p w:rsidR="00000000" w:rsidRPr="002F2E54" w:rsidP="006819D7">
      <w:pPr>
        <w:pStyle w:val="BodyText"/>
      </w:pPr>
      <w:r w:rsidRPr="002F2E54">
        <w:t>Skills must have been demonstrated in the workplace or in a simulated environment that reflects workplace conditions. The following conditions must be met for this unit:</w:t>
      </w:r>
    </w:p>
    <w:p w:rsidR="00000000" w:rsidRPr="002F2E54" w:rsidP="002F2E54">
      <w:pPr>
        <w:pStyle w:val="ListBullet"/>
      </w:pPr>
      <w:r w:rsidRPr="002F2E54">
        <w:t>use of suitable facilities, equipment and resources in line with the Australian Nursing and Midwifery Accreditation Council’s Standards</w:t>
      </w:r>
    </w:p>
    <w:p w:rsidR="00000000" w:rsidRPr="002F2E54" w:rsidP="002F2E54">
      <w:pPr>
        <w:pStyle w:val="ListBullet"/>
      </w:pPr>
      <w:r w:rsidRPr="002F2E54">
        <w:t>modelling of industry operating conditions including access to real people for simulations and scenarios in enrolled nur</w:t>
      </w:r>
      <w:r w:rsidRPr="002F2E54">
        <w:t>sing work.</w:t>
      </w:r>
    </w:p>
    <w:p w:rsidR="00000000" w:rsidRPr="002F2E54" w:rsidP="002F2E54">
      <w:pPr>
        <w:pStyle w:val="BodyText"/>
      </w:pPr>
    </w:p>
    <w:p w:rsidR="00000000" w:rsidRPr="002F2E54" w:rsidP="006819D7">
      <w:pPr>
        <w:pStyle w:val="BodyText"/>
      </w:pPr>
      <w:r w:rsidRPr="002F2E54">
        <w:t xml:space="preserve">Assessors must satisfy the Standards for Registered Training Organisations (RTOs) 2015/AQTF mandatory competency requirements for assessors </w:t>
      </w:r>
    </w:p>
    <w:p w:rsidR="00000000" w:rsidRPr="002F2E54" w:rsidP="006819D7">
      <w:pPr>
        <w:pStyle w:val="BodyText"/>
      </w:pPr>
      <w:r w:rsidRPr="002F2E54">
        <w:t>In addition, assessors must hold current registration as a Registered Nurse with Nursing and Midwifery</w:t>
      </w:r>
      <w:r w:rsidRPr="002F2E54">
        <w:t xml:space="preserve"> Board of Australia.</w:t>
      </w:r>
    </w:p>
    <w:p w:rsidR="00000000" w:rsidRPr="002F2E54" w:rsidP="002F2E54">
      <w:pPr>
        <w:pStyle w:val="Heading1"/>
      </w:pPr>
      <w:bookmarkStart w:id="11" w:name="O_820830"/>
      <w:bookmarkEnd w:id="11"/>
      <w:r w:rsidRPr="002F2E54">
        <w:t>Links</w:t>
      </w:r>
    </w:p>
    <w:p w:rsidR="00000000" w:rsidRPr="002F2E54" w:rsidP="006819D7">
      <w:pPr>
        <w:pStyle w:val="BodyText"/>
      </w:pPr>
      <w:r w:rsidRPr="002F2E5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75AA6">
        <w:rPr>
          <w:rStyle w:val="Hyperlink"/>
        </w:rPr>
        <w:t>https://vetnet.gov.au/Pages/TrainingDocs.aspx?q=ced1390f-48d9-4ab0-bd50-b015e5485705</w:t>
      </w:r>
      <w:r>
        <w:fldChar w:fldCharType="end"/>
      </w:r>
    </w:p>
    <w:p w:rsidR="00000000" w:rsidRPr="002F2E54" w:rsidP="002F2E54"/>
    <w:sectPr w:rsidSect="002F2E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54" w:rsidRPr="006819D7" w:rsidP="006819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D7" w:rsidP="002F2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9D7" w:rsidP="002F2E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819D7" w:rsidP="002F2E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54" w:rsidP="002F2E54">
    <w:pPr>
      <w:pStyle w:val="Footer"/>
      <w:framePr w:wrap="around"/>
    </w:pPr>
    <w:r>
      <w:fldChar w:fldCharType="begin"/>
    </w:r>
    <w:r>
      <w:instrText xml:space="preserve"> DOCPROPERTY  Subject  \* MERGEFORMAT </w:instrText>
    </w:r>
    <w:r>
      <w:fldChar w:fldCharType="separate"/>
    </w:r>
    <w:r w:rsidR="006819D7">
      <w:t>Approved</w:t>
    </w:r>
    <w:r w:rsidR="006819D7">
      <w:fldChar w:fldCharType="end"/>
    </w:r>
    <w:r>
      <w:tab/>
      <w:t xml:space="preserve">Page </w:t>
    </w:r>
    <w:r>
      <w:fldChar w:fldCharType="begin"/>
    </w:r>
    <w:r>
      <w:instrText xml:space="preserve"> PAGE  \* Arabic  \* MERGEFORMAT </w:instrText>
    </w:r>
    <w:r>
      <w:fldChar w:fldCharType="separate"/>
    </w:r>
    <w:r w:rsidR="006819D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9D7">
      <w:rPr>
        <w:noProof/>
      </w:rPr>
      <w:t>4</w:t>
    </w:r>
    <w:r>
      <w:rPr>
        <w:noProof/>
      </w:rPr>
      <w:fldChar w:fldCharType="end"/>
    </w:r>
  </w:p>
  <w:p w:rsidR="002F2E54" w:rsidP="002F2E54">
    <w:pPr>
      <w:pStyle w:val="Footer"/>
      <w:framePr w:wrap="around"/>
    </w:pPr>
    <w:r>
      <w:t xml:space="preserve">© Commonwealth of Australia, </w:t>
    </w:r>
    <w:r>
      <w:fldChar w:fldCharType="begin"/>
    </w:r>
    <w:r>
      <w:instrText xml:space="preserve"> DATE  \@ "yyyy"  \* MERGEFORMAT </w:instrText>
    </w:r>
    <w:r>
      <w:fldChar w:fldCharType="separate"/>
    </w:r>
    <w:r w:rsidR="006819D7">
      <w:rPr>
        <w:noProof/>
      </w:rPr>
      <w:t>2025</w:t>
    </w:r>
    <w:r>
      <w:fldChar w:fldCharType="end"/>
    </w:r>
    <w:r>
      <w:tab/>
    </w:r>
    <w:r>
      <w:fldChar w:fldCharType="begin"/>
    </w:r>
    <w:r>
      <w:instrText xml:space="preserve"> DOCPROPERTY  Author  \* MERGEFORMAT </w:instrText>
    </w:r>
    <w:r>
      <w:fldChar w:fldCharType="separate"/>
    </w:r>
    <w:r w:rsidR="006819D7">
      <w:t>HumanAbility</w:t>
    </w:r>
    <w:r w:rsidR="006819D7">
      <w:fldChar w:fldCharType="end"/>
    </w:r>
  </w:p>
  <w:p w:rsidR="002F2E54" w:rsidP="002F2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2E54" w:rsidRPr="006819D7" w:rsidP="006819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D7" w:rsidRPr="002D2AF8" w:rsidP="002F2E54">
    <w:pPr>
      <w:pStyle w:val="Header"/>
      <w:framePr w:wrap="around"/>
    </w:pPr>
    <w:r>
      <w:fldChar w:fldCharType="begin"/>
    </w:r>
    <w:r>
      <w:instrText xml:space="preserve"> TITLE   \* MERGEFORMAT </w:instrText>
    </w:r>
    <w:r>
      <w:fldChar w:fldCharType="separate"/>
    </w:r>
    <w:r>
      <w:t>HLTENN022 Contribute to the registration, eligibility and assessment of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19D7" w:rsidP="002F2E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54" w:rsidRPr="002D2AF8" w:rsidP="002F2E54">
    <w:pPr>
      <w:pStyle w:val="Header"/>
      <w:framePr w:wrap="around"/>
    </w:pPr>
    <w:r>
      <w:fldChar w:fldCharType="begin"/>
    </w:r>
    <w:r>
      <w:instrText xml:space="preserve"> TITLE   \* MERGEFORMAT </w:instrText>
    </w:r>
    <w:r>
      <w:fldChar w:fldCharType="separate"/>
    </w:r>
    <w:r w:rsidR="006819D7">
      <w:t>HLTENN022 Contribute to the registration, eligibility and assessment of donors</w:t>
    </w:r>
    <w:r w:rsidR="006819D7">
      <w:fldChar w:fldCharType="end"/>
    </w:r>
    <w:r>
      <w:tab/>
      <w:t xml:space="preserve">Date this document was generated: </w:t>
    </w:r>
    <w:r>
      <w:fldChar w:fldCharType="begin"/>
    </w:r>
    <w:r>
      <w:instrText xml:space="preserve"> CREATEDATE  \@ "d MMMM yyyy"  \* MERGEFORMAT </w:instrText>
    </w:r>
    <w:r>
      <w:fldChar w:fldCharType="separate"/>
    </w:r>
    <w:r w:rsidR="006819D7">
      <w:rPr>
        <w:noProof/>
      </w:rPr>
      <w:t>2 March 2025</w:t>
    </w:r>
    <w:r>
      <w:fldChar w:fldCharType="end"/>
    </w:r>
  </w:p>
  <w:p w:rsidR="002F2E54" w:rsidP="002F2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CF9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65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20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E54"/>
    <w:pPr>
      <w:spacing w:before="360" w:after="60"/>
      <w:outlineLvl w:val="0"/>
    </w:pPr>
    <w:rPr>
      <w:sz w:val="32"/>
    </w:rPr>
  </w:style>
  <w:style w:type="paragraph" w:styleId="Heading2">
    <w:name w:val="heading 2"/>
    <w:basedOn w:val="HeadingBase"/>
    <w:next w:val="BodyText"/>
    <w:link w:val="Heading2Char"/>
    <w:qFormat/>
    <w:rsid w:val="002F2E54"/>
    <w:pPr>
      <w:keepLines/>
      <w:spacing w:before="240" w:after="120"/>
      <w:outlineLvl w:val="1"/>
    </w:pPr>
    <w:rPr>
      <w:sz w:val="28"/>
      <w:szCs w:val="40"/>
    </w:rPr>
  </w:style>
  <w:style w:type="paragraph" w:styleId="Heading3">
    <w:name w:val="heading 3"/>
    <w:basedOn w:val="HeadingBase"/>
    <w:next w:val="BodyText"/>
    <w:link w:val="Heading3Char"/>
    <w:qFormat/>
    <w:rsid w:val="002F2E54"/>
    <w:pPr>
      <w:spacing w:before="180" w:after="120"/>
      <w:outlineLvl w:val="2"/>
    </w:pPr>
    <w:rPr>
      <w:spacing w:val="-10"/>
      <w:kern w:val="32"/>
    </w:rPr>
  </w:style>
  <w:style w:type="paragraph" w:styleId="Heading4">
    <w:name w:val="heading 4"/>
    <w:basedOn w:val="HeadingBase"/>
    <w:next w:val="BodyText"/>
    <w:link w:val="Heading4Char"/>
    <w:qFormat/>
    <w:rsid w:val="002F2E54"/>
    <w:pPr>
      <w:spacing w:before="160" w:after="120"/>
      <w:outlineLvl w:val="3"/>
    </w:pPr>
    <w:rPr>
      <w:sz w:val="22"/>
    </w:rPr>
  </w:style>
  <w:style w:type="paragraph" w:styleId="Heading5">
    <w:name w:val="heading 5"/>
    <w:basedOn w:val="HeadingBase"/>
    <w:next w:val="Normal"/>
    <w:link w:val="Heading5Char"/>
    <w:qFormat/>
    <w:rsid w:val="002F2E54"/>
    <w:pPr>
      <w:spacing w:before="80"/>
      <w:outlineLvl w:val="4"/>
    </w:pPr>
    <w:rPr>
      <w:color w:val="918585"/>
      <w:sz w:val="20"/>
    </w:rPr>
  </w:style>
  <w:style w:type="paragraph" w:styleId="Heading6">
    <w:name w:val="heading 6"/>
    <w:basedOn w:val="HeadingBase"/>
    <w:next w:val="Normal"/>
    <w:link w:val="Heading6Char"/>
    <w:qFormat/>
    <w:rsid w:val="002F2E54"/>
    <w:pPr>
      <w:spacing w:before="60"/>
      <w:outlineLvl w:val="5"/>
    </w:pPr>
    <w:rPr>
      <w:color w:val="918585"/>
      <w:sz w:val="20"/>
    </w:rPr>
  </w:style>
  <w:style w:type="paragraph" w:styleId="Heading7">
    <w:name w:val="heading 7"/>
    <w:basedOn w:val="Normal"/>
    <w:next w:val="Normal"/>
    <w:link w:val="Heading7Char"/>
    <w:qFormat/>
    <w:rsid w:val="002F2E54"/>
    <w:pPr>
      <w:ind w:left="720"/>
      <w:outlineLvl w:val="6"/>
    </w:pPr>
    <w:rPr>
      <w:i/>
    </w:rPr>
  </w:style>
  <w:style w:type="paragraph" w:styleId="Heading8">
    <w:name w:val="heading 8"/>
    <w:basedOn w:val="Normal"/>
    <w:next w:val="Normal"/>
    <w:link w:val="Heading8Char"/>
    <w:qFormat/>
    <w:rsid w:val="002F2E54"/>
    <w:pPr>
      <w:ind w:left="720"/>
      <w:outlineLvl w:val="7"/>
    </w:pPr>
    <w:rPr>
      <w:i/>
    </w:rPr>
  </w:style>
  <w:style w:type="paragraph" w:styleId="Heading9">
    <w:name w:val="heading 9"/>
    <w:basedOn w:val="Normal"/>
    <w:next w:val="Normal"/>
    <w:link w:val="Heading9Char"/>
    <w:qFormat/>
    <w:rsid w:val="002F2E54"/>
    <w:pPr>
      <w:ind w:left="720"/>
      <w:outlineLvl w:val="8"/>
    </w:pPr>
    <w:rPr>
      <w:i/>
    </w:rPr>
  </w:style>
  <w:style w:type="character" w:default="1" w:styleId="DefaultParagraphFont">
    <w:name w:val="Default Paragraph Font"/>
    <w:uiPriority w:val="1"/>
    <w:unhideWhenUsed/>
    <w:rsid w:val="002F2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E54"/>
  </w:style>
  <w:style w:type="character" w:customStyle="1" w:styleId="Heading1Char">
    <w:name w:val="Heading 1 Char"/>
    <w:basedOn w:val="DefaultParagraphFont"/>
    <w:link w:val="Heading1"/>
    <w:rsid w:val="002F2E54"/>
    <w:rPr>
      <w:rFonts w:ascii="Times New Roman" w:eastAsia="Times New Roman" w:hAnsi="Times New Roman" w:cs="Times New Roman"/>
      <w:b/>
      <w:sz w:val="32"/>
      <w:szCs w:val="20"/>
      <w:lang w:eastAsia="en-US"/>
    </w:rPr>
  </w:style>
  <w:style w:type="paragraph" w:styleId="BodyText">
    <w:name w:val="Body Text"/>
    <w:basedOn w:val="Normal"/>
    <w:link w:val="BodyTextChar"/>
    <w:rsid w:val="002F2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2E54"/>
    <w:rPr>
      <w:rFonts w:ascii="Times New Roman" w:eastAsia="Times New Roman" w:hAnsi="Times New Roman" w:cs="Times New Roman"/>
      <w:sz w:val="24"/>
      <w:lang w:eastAsia="en-US"/>
    </w:rPr>
  </w:style>
  <w:style w:type="paragraph" w:styleId="ListBullet">
    <w:name w:val="List Bullet"/>
    <w:basedOn w:val="List"/>
    <w:rsid w:val="002F2E54"/>
    <w:pPr>
      <w:numPr>
        <w:numId w:val="12"/>
      </w:numPr>
      <w:tabs>
        <w:tab w:val="clear" w:pos="340"/>
      </w:tabs>
      <w:spacing w:before="40" w:after="40"/>
    </w:pPr>
  </w:style>
  <w:style w:type="character" w:customStyle="1" w:styleId="SpecialBold">
    <w:name w:val="Special Bold"/>
    <w:basedOn w:val="DefaultParagraphFont"/>
    <w:rsid w:val="002F2E54"/>
    <w:rPr>
      <w:b/>
      <w:spacing w:val="0"/>
    </w:rPr>
  </w:style>
  <w:style w:type="paragraph" w:styleId="ListBullet2">
    <w:name w:val="List Bullet 2"/>
    <w:basedOn w:val="List2"/>
    <w:rsid w:val="002F2E54"/>
    <w:pPr>
      <w:numPr>
        <w:numId w:val="13"/>
      </w:numPr>
      <w:tabs>
        <w:tab w:val="clear" w:pos="680"/>
      </w:tabs>
    </w:pPr>
  </w:style>
  <w:style w:type="character" w:styleId="Emphasis">
    <w:name w:val="Emphasis"/>
    <w:basedOn w:val="DefaultParagraphFont"/>
    <w:qFormat/>
    <w:rsid w:val="002F2E54"/>
    <w:rPr>
      <w:i/>
    </w:rPr>
  </w:style>
  <w:style w:type="paragraph" w:customStyle="1" w:styleId="SuperHeading">
    <w:name w:val="SuperHeading"/>
    <w:basedOn w:val="Normal"/>
    <w:rsid w:val="002F2E54"/>
    <w:pPr>
      <w:spacing w:before="240" w:after="120"/>
      <w:outlineLvl w:val="0"/>
    </w:pPr>
    <w:rPr>
      <w:rFonts w:ascii="Times New Roman" w:hAnsi="Times New Roman"/>
      <w:b/>
      <w:sz w:val="32"/>
    </w:rPr>
  </w:style>
  <w:style w:type="paragraph" w:customStyle="1" w:styleId="AllowPageBreak">
    <w:name w:val="AllowPageBreak"/>
    <w:rsid w:val="002F2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2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E54"/>
    <w:rPr>
      <w:rFonts w:ascii="Courier New" w:eastAsia="Times New Roman" w:hAnsi="Courier New" w:cs="Times New Roman"/>
      <w:i/>
      <w:szCs w:val="20"/>
      <w:lang w:eastAsia="en-US"/>
    </w:rPr>
  </w:style>
  <w:style w:type="paragraph" w:customStyle="1" w:styleId="HeadingBase">
    <w:name w:val="Heading Base"/>
    <w:rsid w:val="002F2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E54"/>
    <w:pPr>
      <w:tabs>
        <w:tab w:val="right" w:leader="dot" w:pos="9072"/>
      </w:tabs>
      <w:ind w:left="567"/>
    </w:pPr>
    <w:rPr>
      <w:szCs w:val="22"/>
    </w:rPr>
  </w:style>
  <w:style w:type="paragraph" w:customStyle="1" w:styleId="TOCBase">
    <w:name w:val="TOC Base"/>
    <w:rsid w:val="002F2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E54"/>
    <w:pPr>
      <w:tabs>
        <w:tab w:val="right" w:leader="dot" w:pos="9072"/>
      </w:tabs>
      <w:spacing w:before="40" w:after="40"/>
      <w:ind w:left="284"/>
    </w:pPr>
    <w:rPr>
      <w:rFonts w:ascii="Times New Roman" w:hAnsi="Times New Roman"/>
    </w:rPr>
  </w:style>
  <w:style w:type="paragraph" w:styleId="TOC1">
    <w:name w:val="toc 1"/>
    <w:basedOn w:val="TOCBase"/>
    <w:next w:val="Normal"/>
    <w:rsid w:val="002F2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2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E54"/>
    <w:rPr>
      <w:rFonts w:ascii="Times New Roman" w:eastAsia="Times New Roman" w:hAnsi="Times New Roman" w:cs="Times New Roman"/>
      <w:sz w:val="16"/>
      <w:lang w:eastAsia="en-US"/>
    </w:rPr>
  </w:style>
  <w:style w:type="paragraph" w:styleId="Title">
    <w:name w:val="Title"/>
    <w:basedOn w:val="HeadingBase"/>
    <w:link w:val="TitleChar"/>
    <w:qFormat/>
    <w:rsid w:val="002F2E54"/>
    <w:pPr>
      <w:spacing w:before="5040"/>
      <w:jc w:val="center"/>
    </w:pPr>
    <w:rPr>
      <w:sz w:val="48"/>
      <w:szCs w:val="72"/>
      <w:lang w:val="en-US"/>
    </w:rPr>
  </w:style>
  <w:style w:type="character" w:customStyle="1" w:styleId="TitleChar">
    <w:name w:val="Title Char"/>
    <w:basedOn w:val="DefaultParagraphFont"/>
    <w:link w:val="Title"/>
    <w:rsid w:val="002F2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E54"/>
    <w:pPr>
      <w:tabs>
        <w:tab w:val="left" w:pos="3600"/>
        <w:tab w:val="left" w:pos="3958"/>
      </w:tabs>
    </w:pPr>
  </w:style>
  <w:style w:type="paragraph" w:styleId="List">
    <w:name w:val="List"/>
    <w:basedOn w:val="BodyText"/>
    <w:next w:val="BodyText"/>
    <w:rsid w:val="002F2E54"/>
    <w:pPr>
      <w:tabs>
        <w:tab w:val="left" w:pos="340"/>
      </w:tabs>
      <w:spacing w:before="60" w:after="60"/>
      <w:ind w:left="340" w:hanging="340"/>
    </w:pPr>
  </w:style>
  <w:style w:type="paragraph" w:customStyle="1" w:styleId="Note">
    <w:name w:val="Note"/>
    <w:basedOn w:val="BodyText"/>
    <w:rsid w:val="002F2E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E54"/>
    <w:pPr>
      <w:framePr w:wrap="auto" w:hAnchor="text" w:y="6049"/>
    </w:pPr>
    <w:rPr>
      <w:color w:val="000000"/>
      <w:sz w:val="40"/>
    </w:rPr>
  </w:style>
  <w:style w:type="paragraph" w:customStyle="1" w:styleId="TOCTitle">
    <w:name w:val="TOCTitle"/>
    <w:basedOn w:val="Heading1"/>
    <w:rsid w:val="002F2E54"/>
    <w:pPr>
      <w:spacing w:after="240"/>
      <w:jc w:val="center"/>
      <w:outlineLvl w:val="9"/>
    </w:pPr>
    <w:rPr>
      <w:caps/>
    </w:rPr>
  </w:style>
  <w:style w:type="paragraph" w:customStyle="1" w:styleId="Version">
    <w:name w:val="Version"/>
    <w:rsid w:val="002F2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E54"/>
    <w:pPr>
      <w:keepNext w:val="0"/>
      <w:tabs>
        <w:tab w:val="right" w:pos="4176"/>
      </w:tabs>
      <w:ind w:left="198" w:hanging="198"/>
    </w:pPr>
    <w:rPr>
      <w:rFonts w:ascii="Garamond" w:hAnsi="Garamond"/>
    </w:rPr>
  </w:style>
  <w:style w:type="paragraph" w:styleId="IndexHeading">
    <w:name w:val="index heading"/>
    <w:basedOn w:val="Normal"/>
    <w:next w:val="Index1"/>
    <w:semiHidden/>
    <w:rsid w:val="002F2E54"/>
    <w:pPr>
      <w:spacing w:before="120" w:after="120"/>
    </w:pPr>
    <w:rPr>
      <w:rFonts w:ascii="Arial" w:hAnsi="Arial"/>
      <w:b/>
      <w:color w:val="918585"/>
      <w:sz w:val="24"/>
    </w:rPr>
  </w:style>
  <w:style w:type="paragraph" w:styleId="Header">
    <w:name w:val="header"/>
    <w:basedOn w:val="Normal"/>
    <w:link w:val="HeaderChar"/>
    <w:rsid w:val="002F2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E54"/>
    <w:rPr>
      <w:rFonts w:ascii="Times New Roman" w:eastAsia="Times New Roman" w:hAnsi="Times New Roman" w:cs="Times New Roman"/>
      <w:sz w:val="16"/>
      <w:szCs w:val="20"/>
      <w:lang w:val="en-GB" w:eastAsia="en-US"/>
    </w:rPr>
  </w:style>
  <w:style w:type="paragraph" w:customStyle="1" w:styleId="Chapter">
    <w:name w:val="Chapter"/>
    <w:basedOn w:val="Normal"/>
    <w:rsid w:val="002F2E54"/>
    <w:pPr>
      <w:spacing w:before="240"/>
    </w:pPr>
    <w:rPr>
      <w:rFonts w:ascii="Times New Roman" w:hAnsi="Times New Roman"/>
      <w:smallCaps/>
      <w:spacing w:val="80"/>
      <w:sz w:val="28"/>
    </w:rPr>
  </w:style>
  <w:style w:type="paragraph" w:customStyle="1" w:styleId="InChapter">
    <w:name w:val="InChapter"/>
    <w:basedOn w:val="Heading3"/>
    <w:rsid w:val="002F2E54"/>
    <w:pPr>
      <w:spacing w:after="240"/>
      <w:outlineLvl w:val="9"/>
    </w:pPr>
    <w:rPr>
      <w:noProof/>
    </w:rPr>
  </w:style>
  <w:style w:type="paragraph" w:styleId="Index2">
    <w:name w:val="index 2"/>
    <w:basedOn w:val="Normal"/>
    <w:next w:val="Normal"/>
    <w:semiHidden/>
    <w:rsid w:val="002F2E54"/>
    <w:pPr>
      <w:tabs>
        <w:tab w:val="right" w:pos="4176"/>
      </w:tabs>
      <w:ind w:left="568" w:hanging="284"/>
    </w:pPr>
    <w:rPr>
      <w:rFonts w:ascii="Garamond" w:hAnsi="Garamond"/>
    </w:rPr>
  </w:style>
  <w:style w:type="paragraph" w:customStyle="1" w:styleId="Byline">
    <w:name w:val="Byline"/>
    <w:rsid w:val="002F2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E54"/>
    <w:pPr>
      <w:tabs>
        <w:tab w:val="clear" w:pos="3600"/>
        <w:tab w:val="clear" w:pos="3958"/>
      </w:tabs>
      <w:jc w:val="right"/>
    </w:pPr>
  </w:style>
  <w:style w:type="paragraph" w:styleId="Caption">
    <w:name w:val="caption"/>
    <w:basedOn w:val="BodyText"/>
    <w:next w:val="Normal"/>
    <w:qFormat/>
    <w:rsid w:val="002F2E54"/>
    <w:pPr>
      <w:framePr w:w="2268" w:hSpace="181" w:vSpace="181" w:wrap="around" w:vAnchor="text" w:hAnchor="page" w:x="1135" w:y="285" w:anchorLock="1"/>
    </w:pPr>
    <w:rPr>
      <w:i/>
    </w:rPr>
  </w:style>
  <w:style w:type="paragraph" w:customStyle="1" w:styleId="MiniTOCTitle">
    <w:name w:val="MiniTOCTitle"/>
    <w:basedOn w:val="Heading4"/>
    <w:rsid w:val="002F2E54"/>
    <w:pPr>
      <w:spacing w:before="240"/>
      <w:outlineLvl w:val="9"/>
    </w:pPr>
    <w:rPr>
      <w:noProof/>
      <w:sz w:val="24"/>
    </w:rPr>
  </w:style>
  <w:style w:type="paragraph" w:customStyle="1" w:styleId="MiniTOCItem">
    <w:name w:val="MiniTOCItem"/>
    <w:basedOn w:val="ListBullet"/>
    <w:rsid w:val="002F2E54"/>
    <w:pPr>
      <w:numPr>
        <w:numId w:val="0"/>
      </w:numPr>
      <w:tabs>
        <w:tab w:val="right" w:leader="dot" w:pos="6521"/>
      </w:tabs>
      <w:spacing w:before="0" w:after="0"/>
    </w:pPr>
  </w:style>
  <w:style w:type="paragraph" w:customStyle="1" w:styleId="TOFTitle">
    <w:name w:val="TOFTitle"/>
    <w:basedOn w:val="TOCTitle"/>
    <w:rsid w:val="002F2E54"/>
  </w:style>
  <w:style w:type="paragraph" w:styleId="TableofFigures">
    <w:name w:val="table of figures"/>
    <w:basedOn w:val="Normal"/>
    <w:next w:val="Normal"/>
    <w:semiHidden/>
    <w:rsid w:val="002F2E54"/>
    <w:pPr>
      <w:tabs>
        <w:tab w:val="right" w:leader="dot" w:pos="9072"/>
      </w:tabs>
      <w:ind w:left="970" w:hanging="403"/>
    </w:pPr>
    <w:rPr>
      <w:rFonts w:ascii="Times New Roman" w:hAnsi="Times New Roman"/>
      <w:b/>
    </w:rPr>
  </w:style>
  <w:style w:type="paragraph" w:styleId="ListNumber">
    <w:name w:val="List Number"/>
    <w:basedOn w:val="List"/>
    <w:rsid w:val="002F2E54"/>
    <w:pPr>
      <w:numPr>
        <w:numId w:val="15"/>
      </w:numPr>
      <w:tabs>
        <w:tab w:val="clear" w:pos="340"/>
      </w:tabs>
    </w:pPr>
  </w:style>
  <w:style w:type="character" w:customStyle="1" w:styleId="WingdingSymbols">
    <w:name w:val="Wingding Symbols"/>
    <w:rsid w:val="002F2E54"/>
    <w:rPr>
      <w:rFonts w:ascii="Wingdings" w:hAnsi="Wingdings"/>
    </w:rPr>
  </w:style>
  <w:style w:type="paragraph" w:customStyle="1" w:styleId="TableHeading">
    <w:name w:val="Table Heading"/>
    <w:basedOn w:val="HeadingBase"/>
    <w:rsid w:val="002F2E54"/>
    <w:pPr>
      <w:keepLines/>
      <w:pBdr>
        <w:bottom w:val="single" w:sz="6" w:space="1" w:color="918585"/>
      </w:pBdr>
      <w:spacing w:before="240"/>
    </w:pPr>
  </w:style>
  <w:style w:type="character" w:customStyle="1" w:styleId="HotSpot">
    <w:name w:val="HotSpot"/>
    <w:rsid w:val="002F2E54"/>
    <w:rPr>
      <w:color w:val="0033CC"/>
      <w:u w:val="none"/>
    </w:rPr>
  </w:style>
  <w:style w:type="paragraph" w:customStyle="1" w:styleId="BodyTextRight">
    <w:name w:val="Body Text Right"/>
    <w:basedOn w:val="BodyText"/>
    <w:rsid w:val="002F2E54"/>
    <w:pPr>
      <w:spacing w:before="0" w:after="0"/>
      <w:jc w:val="right"/>
    </w:pPr>
  </w:style>
  <w:style w:type="paragraph" w:styleId="Index3">
    <w:name w:val="index 3"/>
    <w:basedOn w:val="ListNumber2"/>
    <w:next w:val="Normal"/>
    <w:semiHidden/>
    <w:rsid w:val="002F2E54"/>
    <w:pPr>
      <w:numPr>
        <w:numId w:val="0"/>
      </w:numPr>
      <w:tabs>
        <w:tab w:val="right" w:leader="dot" w:pos="4176"/>
      </w:tabs>
    </w:pPr>
  </w:style>
  <w:style w:type="paragraph" w:styleId="ListNumber2">
    <w:name w:val="List Number 2"/>
    <w:basedOn w:val="List2"/>
    <w:rsid w:val="002F2E54"/>
    <w:pPr>
      <w:numPr>
        <w:numId w:val="10"/>
      </w:numPr>
      <w:tabs>
        <w:tab w:val="clear" w:pos="1060"/>
      </w:tabs>
    </w:pPr>
  </w:style>
  <w:style w:type="paragraph" w:customStyle="1" w:styleId="MarginNote">
    <w:name w:val="Margin Note"/>
    <w:basedOn w:val="BodyText"/>
    <w:rsid w:val="002F2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E54"/>
    <w:rPr>
      <w:sz w:val="32"/>
    </w:rPr>
  </w:style>
  <w:style w:type="paragraph" w:customStyle="1" w:styleId="HeadingProcedure">
    <w:name w:val="Heading Procedure"/>
    <w:basedOn w:val="HeadingBase"/>
    <w:next w:val="Normal"/>
    <w:rsid w:val="002F2E54"/>
    <w:pPr>
      <w:tabs>
        <w:tab w:val="left" w:pos="0"/>
      </w:tabs>
      <w:spacing w:before="120" w:after="60"/>
    </w:pPr>
    <w:rPr>
      <w:i/>
      <w:color w:val="918585"/>
      <w:sz w:val="22"/>
    </w:rPr>
  </w:style>
  <w:style w:type="paragraph" w:customStyle="1" w:styleId="TableBodyText">
    <w:name w:val="Table Body Text"/>
    <w:basedOn w:val="BodyText"/>
    <w:rsid w:val="002F2E54"/>
    <w:pPr>
      <w:spacing w:before="60" w:after="60"/>
    </w:pPr>
  </w:style>
  <w:style w:type="paragraph" w:styleId="ListContinue">
    <w:name w:val="List Continue"/>
    <w:basedOn w:val="List"/>
    <w:rsid w:val="002F2E54"/>
    <w:pPr>
      <w:ind w:firstLine="0"/>
    </w:pPr>
  </w:style>
  <w:style w:type="paragraph" w:customStyle="1" w:styleId="ListNote">
    <w:name w:val="List Note"/>
    <w:basedOn w:val="List"/>
    <w:rsid w:val="002F2E54"/>
    <w:pPr>
      <w:pBdr>
        <w:top w:val="single" w:sz="6" w:space="2" w:color="918585"/>
        <w:bottom w:val="single" w:sz="6" w:space="2" w:color="918585"/>
      </w:pBdr>
      <w:tabs>
        <w:tab w:val="left" w:pos="1021"/>
      </w:tabs>
      <w:ind w:firstLine="0"/>
    </w:pPr>
  </w:style>
  <w:style w:type="paragraph" w:customStyle="1" w:styleId="Warning">
    <w:name w:val="Warning"/>
    <w:basedOn w:val="BodyText"/>
    <w:rsid w:val="002F2E54"/>
    <w:pPr>
      <w:shd w:val="clear" w:color="auto" w:fill="D9D9D9"/>
      <w:tabs>
        <w:tab w:val="left" w:pos="992"/>
      </w:tabs>
      <w:ind w:left="119" w:right="119"/>
    </w:pPr>
    <w:rPr>
      <w:sz w:val="20"/>
    </w:rPr>
  </w:style>
  <w:style w:type="paragraph" w:customStyle="1" w:styleId="MarginIcons">
    <w:name w:val="Margin Icons"/>
    <w:basedOn w:val="BodyText"/>
    <w:rsid w:val="002F2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E54"/>
    <w:rPr>
      <w:rFonts w:ascii="Courier New" w:hAnsi="Courier New"/>
    </w:rPr>
  </w:style>
  <w:style w:type="paragraph" w:customStyle="1" w:styleId="NoteBullet">
    <w:name w:val="Note Bullet"/>
    <w:basedOn w:val="Note"/>
    <w:rsid w:val="002F2E54"/>
    <w:pPr>
      <w:tabs>
        <w:tab w:val="clear" w:pos="680"/>
      </w:tabs>
      <w:spacing w:before="60" w:after="60"/>
    </w:pPr>
  </w:style>
  <w:style w:type="paragraph" w:customStyle="1" w:styleId="SubHeading2">
    <w:name w:val="SubHeading2"/>
    <w:basedOn w:val="HeadingBase"/>
    <w:rsid w:val="002F2E54"/>
    <w:pPr>
      <w:spacing w:before="240" w:after="60"/>
    </w:pPr>
    <w:rPr>
      <w:sz w:val="20"/>
    </w:rPr>
  </w:style>
  <w:style w:type="paragraph" w:customStyle="1" w:styleId="SubHeading1">
    <w:name w:val="SubHeading1"/>
    <w:basedOn w:val="HeadingBase"/>
    <w:rsid w:val="002F2E54"/>
    <w:pPr>
      <w:spacing w:before="240" w:after="60"/>
    </w:pPr>
    <w:rPr>
      <w:color w:val="918585"/>
      <w:sz w:val="22"/>
    </w:rPr>
  </w:style>
  <w:style w:type="paragraph" w:customStyle="1" w:styleId="SideHeading">
    <w:name w:val="Side Heading"/>
    <w:basedOn w:val="HeadingBase"/>
    <w:rsid w:val="002F2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E54"/>
    <w:pPr>
      <w:tabs>
        <w:tab w:val="num" w:pos="360"/>
      </w:tabs>
    </w:pPr>
  </w:style>
  <w:style w:type="paragraph" w:styleId="PlainText">
    <w:name w:val="Plain Text"/>
    <w:basedOn w:val="Normal"/>
    <w:link w:val="PlainTextChar"/>
    <w:rsid w:val="002F2E54"/>
    <w:rPr>
      <w:sz w:val="20"/>
    </w:rPr>
  </w:style>
  <w:style w:type="character" w:customStyle="1" w:styleId="PlainTextChar">
    <w:name w:val="Plain Text Char"/>
    <w:basedOn w:val="DefaultParagraphFont"/>
    <w:link w:val="PlainText"/>
    <w:rsid w:val="002F2E54"/>
    <w:rPr>
      <w:rFonts w:ascii="Courier New" w:eastAsia="Times New Roman" w:hAnsi="Courier New" w:cs="Times New Roman"/>
      <w:sz w:val="20"/>
      <w:szCs w:val="20"/>
      <w:lang w:eastAsia="en-US"/>
    </w:rPr>
  </w:style>
  <w:style w:type="character" w:customStyle="1" w:styleId="MenuOption">
    <w:name w:val="Menu Option"/>
    <w:basedOn w:val="DefaultParagraphFont"/>
    <w:rsid w:val="002F2E54"/>
    <w:rPr>
      <w:b/>
      <w:smallCaps/>
    </w:rPr>
  </w:style>
  <w:style w:type="paragraph" w:customStyle="1" w:styleId="TableListNumber">
    <w:name w:val="Table List Number"/>
    <w:basedOn w:val="ListNumber"/>
    <w:rsid w:val="002F2E54"/>
    <w:pPr>
      <w:numPr>
        <w:numId w:val="0"/>
      </w:numPr>
    </w:pPr>
  </w:style>
  <w:style w:type="paragraph" w:styleId="TOC4">
    <w:name w:val="toc 4"/>
    <w:basedOn w:val="TOCBase"/>
    <w:next w:val="Normal"/>
    <w:semiHidden/>
    <w:rsid w:val="002F2E54"/>
    <w:pPr>
      <w:tabs>
        <w:tab w:val="right" w:leader="dot" w:pos="9071"/>
      </w:tabs>
      <w:ind w:left="1701"/>
    </w:pPr>
  </w:style>
  <w:style w:type="paragraph" w:customStyle="1" w:styleId="ListAlpha">
    <w:name w:val="List Alpha"/>
    <w:basedOn w:val="List"/>
    <w:rsid w:val="002F2E54"/>
    <w:pPr>
      <w:numPr>
        <w:numId w:val="9"/>
      </w:numPr>
    </w:pPr>
  </w:style>
  <w:style w:type="paragraph" w:customStyle="1" w:styleId="ListAlpha2">
    <w:name w:val="List Alpha 2"/>
    <w:basedOn w:val="List2"/>
    <w:rsid w:val="002F2E54"/>
    <w:pPr>
      <w:numPr>
        <w:numId w:val="8"/>
      </w:numPr>
    </w:pPr>
  </w:style>
  <w:style w:type="paragraph" w:styleId="List2">
    <w:name w:val="List 2"/>
    <w:basedOn w:val="BodyText"/>
    <w:rsid w:val="002F2E54"/>
    <w:pPr>
      <w:tabs>
        <w:tab w:val="left" w:pos="680"/>
      </w:tabs>
      <w:spacing w:before="60" w:after="60"/>
      <w:ind w:left="680" w:hanging="340"/>
    </w:pPr>
  </w:style>
  <w:style w:type="paragraph" w:styleId="List3">
    <w:name w:val="List 3"/>
    <w:basedOn w:val="BodyText"/>
    <w:rsid w:val="002F2E54"/>
    <w:pPr>
      <w:tabs>
        <w:tab w:val="left" w:pos="1021"/>
      </w:tabs>
      <w:spacing w:before="60" w:after="60"/>
      <w:ind w:left="1020" w:hanging="340"/>
    </w:pPr>
  </w:style>
  <w:style w:type="paragraph" w:styleId="List4">
    <w:name w:val="List 4"/>
    <w:basedOn w:val="BodyText"/>
    <w:rsid w:val="002F2E54"/>
    <w:pPr>
      <w:tabs>
        <w:tab w:val="left" w:pos="1361"/>
      </w:tabs>
      <w:spacing w:before="60" w:after="60"/>
      <w:ind w:left="1361" w:hanging="340"/>
    </w:pPr>
  </w:style>
  <w:style w:type="paragraph" w:styleId="List5">
    <w:name w:val="List 5"/>
    <w:basedOn w:val="BodyText"/>
    <w:rsid w:val="002F2E54"/>
    <w:pPr>
      <w:tabs>
        <w:tab w:val="left" w:pos="1701"/>
      </w:tabs>
      <w:spacing w:before="60" w:after="60"/>
      <w:ind w:left="1701" w:hanging="340"/>
    </w:pPr>
  </w:style>
  <w:style w:type="paragraph" w:styleId="ListBullet3">
    <w:name w:val="List Bullet 3"/>
    <w:basedOn w:val="List3"/>
    <w:rsid w:val="002F2E54"/>
    <w:pPr>
      <w:numPr>
        <w:numId w:val="14"/>
      </w:numPr>
      <w:tabs>
        <w:tab w:val="clear" w:pos="1021"/>
      </w:tabs>
      <w:ind w:left="1037" w:hanging="357"/>
    </w:pPr>
  </w:style>
  <w:style w:type="paragraph" w:styleId="ListBullet4">
    <w:name w:val="List Bullet 4"/>
    <w:basedOn w:val="List4"/>
    <w:rsid w:val="002F2E54"/>
    <w:pPr>
      <w:numPr>
        <w:numId w:val="3"/>
      </w:numPr>
      <w:tabs>
        <w:tab w:val="clear" w:pos="1361"/>
      </w:tabs>
    </w:pPr>
  </w:style>
  <w:style w:type="paragraph" w:styleId="ListBullet5">
    <w:name w:val="List Bullet 5"/>
    <w:basedOn w:val="List5"/>
    <w:rsid w:val="002F2E54"/>
    <w:pPr>
      <w:numPr>
        <w:numId w:val="4"/>
      </w:numPr>
    </w:pPr>
  </w:style>
  <w:style w:type="paragraph" w:styleId="ListContinue2">
    <w:name w:val="List Continue 2"/>
    <w:basedOn w:val="List2"/>
    <w:rsid w:val="002F2E54"/>
    <w:pPr>
      <w:ind w:firstLine="0"/>
    </w:pPr>
  </w:style>
  <w:style w:type="paragraph" w:styleId="ListContinue3">
    <w:name w:val="List Continue 3"/>
    <w:basedOn w:val="List3"/>
    <w:rsid w:val="002F2E54"/>
    <w:pPr>
      <w:ind w:left="1021" w:firstLine="0"/>
    </w:pPr>
  </w:style>
  <w:style w:type="paragraph" w:styleId="ListContinue4">
    <w:name w:val="List Continue 4"/>
    <w:basedOn w:val="List4"/>
    <w:rsid w:val="002F2E54"/>
    <w:pPr>
      <w:ind w:firstLine="0"/>
    </w:pPr>
  </w:style>
  <w:style w:type="paragraph" w:styleId="ListContinue5">
    <w:name w:val="List Continue 5"/>
    <w:basedOn w:val="List5"/>
    <w:rsid w:val="002F2E54"/>
    <w:pPr>
      <w:ind w:firstLine="0"/>
    </w:pPr>
  </w:style>
  <w:style w:type="paragraph" w:styleId="ListNumber3">
    <w:name w:val="List Number 3"/>
    <w:basedOn w:val="List3"/>
    <w:rsid w:val="002F2E54"/>
    <w:pPr>
      <w:numPr>
        <w:numId w:val="5"/>
      </w:numPr>
    </w:pPr>
  </w:style>
  <w:style w:type="paragraph" w:styleId="ListNumber4">
    <w:name w:val="List Number 4"/>
    <w:basedOn w:val="List4"/>
    <w:rsid w:val="002F2E54"/>
    <w:pPr>
      <w:numPr>
        <w:numId w:val="6"/>
      </w:numPr>
    </w:pPr>
  </w:style>
  <w:style w:type="paragraph" w:styleId="ListNumber5">
    <w:name w:val="List Number 5"/>
    <w:basedOn w:val="List5"/>
    <w:rsid w:val="002F2E54"/>
    <w:pPr>
      <w:numPr>
        <w:numId w:val="7"/>
      </w:numPr>
    </w:pPr>
  </w:style>
  <w:style w:type="paragraph" w:styleId="BlockText">
    <w:name w:val="Block Text"/>
    <w:basedOn w:val="Normal"/>
    <w:rsid w:val="002F2E54"/>
    <w:pPr>
      <w:spacing w:after="120"/>
      <w:ind w:left="1440" w:right="1440"/>
    </w:pPr>
  </w:style>
  <w:style w:type="character" w:customStyle="1" w:styleId="Subscript">
    <w:name w:val="Subscript"/>
    <w:basedOn w:val="DefaultParagraphFont"/>
    <w:rsid w:val="002F2E54"/>
    <w:rPr>
      <w:sz w:val="16"/>
      <w:vertAlign w:val="subscript"/>
    </w:rPr>
  </w:style>
  <w:style w:type="character" w:customStyle="1" w:styleId="Superscript">
    <w:name w:val="Superscript"/>
    <w:basedOn w:val="DefaultParagraphFont"/>
    <w:rsid w:val="002F2E54"/>
    <w:rPr>
      <w:sz w:val="16"/>
      <w:vertAlign w:val="superscript"/>
    </w:rPr>
  </w:style>
  <w:style w:type="character" w:customStyle="1" w:styleId="Symbols">
    <w:name w:val="Symbols"/>
    <w:basedOn w:val="DefaultParagraphFont"/>
    <w:rsid w:val="002F2E54"/>
    <w:rPr>
      <w:rFonts w:ascii="Symbol" w:hAnsi="Symbol"/>
    </w:rPr>
  </w:style>
  <w:style w:type="character" w:customStyle="1" w:styleId="MenuOptions">
    <w:name w:val="Menu Options"/>
    <w:basedOn w:val="DefaultParagraphFont"/>
    <w:rsid w:val="002F2E54"/>
    <w:rPr>
      <w:rFonts w:ascii="Arial Narrow" w:hAnsi="Arial Narrow"/>
      <w:smallCaps/>
    </w:rPr>
  </w:style>
  <w:style w:type="character" w:customStyle="1" w:styleId="Buttons">
    <w:name w:val="Buttons"/>
    <w:basedOn w:val="DefaultParagraphFont"/>
    <w:rsid w:val="002F2E54"/>
    <w:rPr>
      <w:b/>
    </w:rPr>
  </w:style>
  <w:style w:type="character" w:customStyle="1" w:styleId="Underlined">
    <w:name w:val="Underlined"/>
    <w:basedOn w:val="DefaultParagraphFont"/>
    <w:rsid w:val="002F2E54"/>
    <w:rPr>
      <w:u w:val="single"/>
    </w:rPr>
  </w:style>
  <w:style w:type="paragraph" w:customStyle="1" w:styleId="TableBodyTextRight">
    <w:name w:val="Table Body Text Right"/>
    <w:basedOn w:val="TableBodyText"/>
    <w:rsid w:val="002F2E54"/>
    <w:pPr>
      <w:widowControl w:val="0"/>
      <w:autoSpaceDE w:val="0"/>
      <w:autoSpaceDN w:val="0"/>
      <w:adjustRightInd w:val="0"/>
      <w:jc w:val="right"/>
    </w:pPr>
    <w:rPr>
      <w:rFonts w:cs="Arial"/>
      <w:szCs w:val="18"/>
    </w:rPr>
  </w:style>
  <w:style w:type="paragraph" w:customStyle="1" w:styleId="CopyrightText">
    <w:name w:val="Copyright Text"/>
    <w:basedOn w:val="BodyText"/>
    <w:rsid w:val="002F2E54"/>
    <w:rPr>
      <w:sz w:val="18"/>
    </w:rPr>
  </w:style>
  <w:style w:type="paragraph" w:customStyle="1" w:styleId="BodySmallRight">
    <w:name w:val="Body Small Right"/>
    <w:basedOn w:val="BodyTextRight"/>
    <w:rsid w:val="002F2E54"/>
    <w:rPr>
      <w:sz w:val="18"/>
      <w:szCs w:val="18"/>
    </w:rPr>
  </w:style>
  <w:style w:type="paragraph" w:customStyle="1" w:styleId="MarginEdition">
    <w:name w:val="Margin Edition"/>
    <w:basedOn w:val="MarginNote"/>
    <w:rsid w:val="002F2E54"/>
    <w:pPr>
      <w:spacing w:before="0" w:after="0"/>
    </w:pPr>
    <w:rPr>
      <w:rFonts w:ascii="Times New Roman" w:hAnsi="Times New Roman"/>
      <w:color w:val="999999"/>
    </w:rPr>
  </w:style>
  <w:style w:type="paragraph" w:customStyle="1" w:styleId="Spacer">
    <w:name w:val="Spacer"/>
    <w:basedOn w:val="Normal"/>
    <w:rsid w:val="002F2E54"/>
    <w:rPr>
      <w:sz w:val="2"/>
      <w:szCs w:val="2"/>
    </w:rPr>
  </w:style>
  <w:style w:type="character" w:customStyle="1" w:styleId="Small">
    <w:name w:val="Small"/>
    <w:basedOn w:val="DefaultParagraphFont"/>
    <w:rsid w:val="002F2E54"/>
    <w:rPr>
      <w:sz w:val="16"/>
    </w:rPr>
  </w:style>
  <w:style w:type="paragraph" w:customStyle="1" w:styleId="WideTable">
    <w:name w:val="Wide Table"/>
    <w:basedOn w:val="Normal"/>
    <w:rsid w:val="002F2E54"/>
    <w:pPr>
      <w:ind w:left="-1418"/>
    </w:pPr>
    <w:rPr>
      <w:sz w:val="2"/>
      <w:szCs w:val="2"/>
    </w:rPr>
  </w:style>
  <w:style w:type="character" w:styleId="PageNumber">
    <w:name w:val="page number"/>
    <w:basedOn w:val="DefaultParagraphFont"/>
    <w:rsid w:val="002F2E54"/>
  </w:style>
  <w:style w:type="paragraph" w:styleId="Quote">
    <w:name w:val="Quote"/>
    <w:basedOn w:val="Heading1"/>
    <w:link w:val="QuoteChar"/>
    <w:qFormat/>
    <w:rsid w:val="002F2E54"/>
    <w:rPr>
      <w:b w:val="0"/>
      <w:sz w:val="72"/>
      <w:szCs w:val="72"/>
      <w:lang w:val="en-NZ"/>
    </w:rPr>
  </w:style>
  <w:style w:type="character" w:customStyle="1" w:styleId="QuoteChar">
    <w:name w:val="Quote Char"/>
    <w:basedOn w:val="DefaultParagraphFont"/>
    <w:link w:val="Quote"/>
    <w:rsid w:val="002F2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E54"/>
    <w:pPr>
      <w:pageBreakBefore/>
    </w:pPr>
  </w:style>
  <w:style w:type="paragraph" w:customStyle="1" w:styleId="Border">
    <w:name w:val="Border"/>
    <w:basedOn w:val="Normal"/>
    <w:qFormat/>
    <w:rsid w:val="002F2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E54"/>
    <w:rPr>
      <w:b/>
      <w:bCs/>
      <w:i/>
      <w:iCs/>
      <w:color w:val="auto"/>
    </w:rPr>
  </w:style>
  <w:style w:type="paragraph" w:styleId="IntenseQuote">
    <w:name w:val="Intense Quote"/>
    <w:basedOn w:val="Normal"/>
    <w:next w:val="Normal"/>
    <w:link w:val="IntenseQuoteChar"/>
    <w:uiPriority w:val="30"/>
    <w:qFormat/>
    <w:rsid w:val="002F2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E54"/>
    <w:rPr>
      <w:smallCaps/>
      <w:color w:val="auto"/>
      <w:u w:val="single"/>
    </w:rPr>
  </w:style>
  <w:style w:type="character" w:styleId="IntenseReference">
    <w:name w:val="Intense Reference"/>
    <w:basedOn w:val="DefaultParagraphFont"/>
    <w:uiPriority w:val="32"/>
    <w:qFormat/>
    <w:rsid w:val="002F2E54"/>
    <w:rPr>
      <w:b/>
      <w:bCs/>
      <w:smallCaps/>
      <w:color w:val="auto"/>
      <w:spacing w:val="5"/>
      <w:u w:val="single"/>
    </w:rPr>
  </w:style>
  <w:style w:type="paragraph" w:customStyle="1" w:styleId="2ColumnHeading">
    <w:name w:val="2Column Heading"/>
    <w:basedOn w:val="BodyText"/>
    <w:qFormat/>
    <w:rsid w:val="002F2E54"/>
    <w:pPr>
      <w:spacing w:after="60"/>
      <w:ind w:left="-2268"/>
    </w:pPr>
    <w:rPr>
      <w:b/>
    </w:rPr>
  </w:style>
  <w:style w:type="paragraph" w:customStyle="1" w:styleId="Heading1TOC">
    <w:name w:val="Heading1 TOC"/>
    <w:basedOn w:val="Normal"/>
    <w:qFormat/>
    <w:rsid w:val="002F2E54"/>
    <w:pPr>
      <w:spacing w:before="240" w:after="120"/>
    </w:pPr>
    <w:rPr>
      <w:rFonts w:ascii="Times New Roman" w:hAnsi="Times New Roman"/>
      <w:b/>
      <w:sz w:val="32"/>
    </w:rPr>
  </w:style>
  <w:style w:type="paragraph" w:customStyle="1" w:styleId="Heading2TOC">
    <w:name w:val="Heading2 TOC"/>
    <w:basedOn w:val="Normal"/>
    <w:qFormat/>
    <w:rsid w:val="002F2E54"/>
    <w:pPr>
      <w:spacing w:before="240" w:after="60"/>
    </w:pPr>
    <w:rPr>
      <w:rFonts w:ascii="Times New Roman" w:hAnsi="Times New Roman"/>
      <w:b/>
      <w:sz w:val="28"/>
    </w:rPr>
  </w:style>
  <w:style w:type="character" w:customStyle="1" w:styleId="Underline">
    <w:name w:val="Underline"/>
    <w:basedOn w:val="DefaultParagraphFont"/>
    <w:qFormat/>
    <w:rsid w:val="002F2E54"/>
    <w:rPr>
      <w:u w:val="single"/>
    </w:rPr>
  </w:style>
  <w:style w:type="character" w:customStyle="1" w:styleId="BoldandItalics">
    <w:name w:val="Bold and Italics"/>
    <w:qFormat/>
    <w:rsid w:val="002F2E54"/>
    <w:rPr>
      <w:b/>
      <w:i/>
      <w:u w:val="none"/>
    </w:rPr>
  </w:style>
  <w:style w:type="paragraph" w:styleId="BalloonText">
    <w:name w:val="Balloon Text"/>
    <w:basedOn w:val="Normal"/>
    <w:link w:val="BalloonTextChar"/>
    <w:rsid w:val="002F2E54"/>
    <w:rPr>
      <w:rFonts w:ascii="Tahoma" w:hAnsi="Tahoma" w:cs="Tahoma"/>
      <w:sz w:val="16"/>
      <w:szCs w:val="16"/>
    </w:rPr>
  </w:style>
  <w:style w:type="character" w:customStyle="1" w:styleId="BalloonTextChar">
    <w:name w:val="Balloon Text Char"/>
    <w:basedOn w:val="DefaultParagraphFont"/>
    <w:link w:val="BalloonText"/>
    <w:rsid w:val="002F2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2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E54"/>
    <w:rPr>
      <w:b/>
      <w:color w:val="660033"/>
      <w:spacing w:val="0"/>
    </w:rPr>
  </w:style>
  <w:style w:type="paragraph" w:customStyle="1" w:styleId="Nameditemlist">
    <w:name w:val="Named item list"/>
    <w:basedOn w:val="BodyText"/>
    <w:qFormat/>
    <w:rsid w:val="002F2E54"/>
    <w:pPr>
      <w:tabs>
        <w:tab w:val="left" w:pos="2835"/>
      </w:tabs>
      <w:ind w:left="2835" w:hanging="2835"/>
    </w:pPr>
  </w:style>
  <w:style w:type="paragraph" w:customStyle="1" w:styleId="BodyTextnopadding">
    <w:name w:val="Body Text no padding"/>
    <w:basedOn w:val="BodyText"/>
    <w:qFormat/>
    <w:rsid w:val="002F2E54"/>
    <w:pPr>
      <w:spacing w:before="0" w:after="0"/>
    </w:pPr>
  </w:style>
  <w:style w:type="paragraph" w:customStyle="1" w:styleId="BodyTextBold">
    <w:name w:val="Body Text Bold"/>
    <w:basedOn w:val="BodyText"/>
    <w:qFormat/>
    <w:rsid w:val="002F2E54"/>
    <w:rPr>
      <w:b/>
    </w:rPr>
  </w:style>
  <w:style w:type="character" w:styleId="Hyperlink">
    <w:name w:val="Hyperlink"/>
    <w:basedOn w:val="DefaultParagraphFont"/>
    <w:uiPriority w:val="99"/>
    <w:unhideWhenUsed/>
    <w:rsid w:val="006819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7205</Characters>
  <Application>Microsoft Office Word</Application>
  <DocSecurity>0</DocSecurity>
  <Lines>205</Lines>
  <Paragraphs>115</Paragraphs>
  <ScaleCrop>false</ScaleCrop>
  <Company>Author-it Software Corporation Ltd.</Company>
  <LinksUpToDate>false</LinksUpToDate>
  <CharactersWithSpaces>8226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HLTENN022 Contribute to the registration, eligibility and assessment of donors</dc:title>
  <dc:subject>Approved</dc:subject>
  <dc:creator>HumanAbility</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