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C92" w:rsidP="008C1C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HLTENN022 Contribute to the registration, eligibility and assessment of donors</w:t>
      </w:r>
      <w:r>
        <w:fldChar w:fldCharType="end"/>
      </w:r>
    </w:p>
    <w:p w:rsidR="008C1C92" w:rsidP="008C1C92">
      <w:pPr>
        <w:pStyle w:val="Version"/>
        <w:sectPr w:rsidSect="005F05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5BD" w:rsidP="005F05BD">
      <w:pPr>
        <w:pStyle w:val="SuperHeading"/>
      </w:pPr>
      <w:r w:rsidRPr="005F05BD">
        <w:t>Assessment Requirements for HLTENN022 Contribute to the registration, eligibility and assessment of donors</w:t>
      </w:r>
    </w:p>
    <w:p w:rsidR="00000000" w:rsidRPr="005F05BD" w:rsidP="005F05BD">
      <w:pPr>
        <w:pStyle w:val="Heading1"/>
      </w:pPr>
      <w:bookmarkStart w:id="1" w:name="O_820824"/>
      <w:bookmarkEnd w:id="1"/>
      <w:r w:rsidRPr="005F05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F0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BD" w:rsidP="005F05BD">
            <w:pPr>
              <w:pStyle w:val="BodyText"/>
            </w:pPr>
            <w:r w:rsidRPr="005F05B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BD">
            <w:pPr>
              <w:pStyle w:val="BodyText"/>
              <w:rPr>
                <w:lang w:val="en-NZ"/>
              </w:rPr>
            </w:pPr>
            <w:r w:rsidRPr="005F05BD">
              <w:rPr>
                <w:rStyle w:val="SpecialBold"/>
              </w:rPr>
              <w:t>Comments</w:t>
            </w:r>
          </w:p>
        </w:tc>
      </w:tr>
      <w:tr w:rsidTr="005F0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BD">
            <w:pPr>
              <w:pStyle w:val="BodyText"/>
              <w:rPr>
                <w:lang w:val="en-NZ"/>
              </w:rPr>
            </w:pPr>
            <w:r w:rsidRPr="005F05B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BD" w:rsidP="005F05BD">
            <w:pPr>
              <w:pStyle w:val="BodyText"/>
            </w:pPr>
            <w:r w:rsidRPr="005F05BD">
              <w:t xml:space="preserve">This version was released in </w:t>
            </w:r>
            <w:r w:rsidRPr="005F05BD">
              <w:rPr>
                <w:rStyle w:val="Emphasis"/>
              </w:rPr>
              <w:t>HLT Health Training Package release 3.0</w:t>
            </w:r>
            <w:r w:rsidRPr="005F05BD">
              <w:t xml:space="preserve"> and meets the requirements of the 2012 Standards for Training Packages.</w:t>
            </w:r>
          </w:p>
          <w:p w:rsidR="00000000" w:rsidRPr="005F05BD" w:rsidP="005F05BD">
            <w:pPr>
              <w:pStyle w:val="BodyText"/>
            </w:pPr>
            <w:r w:rsidRPr="005F05BD">
              <w:t>Merged HLTEN521B and HLTEN522C. Significant changes to the elements and performance criteria. New evidence requirements for assessment, including volume and frequency requirements. Re</w:t>
            </w:r>
            <w:r w:rsidRPr="005F05BD">
              <w:t>moved pre-requisites. Significant change to knowledge evidence.</w:t>
            </w:r>
          </w:p>
        </w:tc>
      </w:tr>
    </w:tbl>
    <w:p w:rsidR="00000000" w:rsidRPr="005F05BD" w:rsidP="005F05BD">
      <w:pPr>
        <w:pStyle w:val="BodyText"/>
      </w:pPr>
    </w:p>
    <w:p w:rsidR="00000000" w:rsidRPr="005F05BD" w:rsidP="005F05BD">
      <w:pPr>
        <w:pStyle w:val="AllowPageBreak"/>
      </w:pPr>
    </w:p>
    <w:p w:rsidR="00000000" w:rsidRPr="005F05BD" w:rsidP="005F05BD">
      <w:pPr>
        <w:pStyle w:val="Heading1"/>
      </w:pPr>
      <w:bookmarkStart w:id="2" w:name="O_820825"/>
      <w:bookmarkEnd w:id="2"/>
      <w:r w:rsidRPr="005F05BD">
        <w:t>Performance Evidence</w:t>
      </w:r>
    </w:p>
    <w:p w:rsidR="00000000" w:rsidRPr="005F05BD" w:rsidP="008C1C92">
      <w:pPr>
        <w:pStyle w:val="BodyText"/>
      </w:pPr>
      <w:r w:rsidRPr="005F05BD">
        <w:t>The candidate must show evidence of the ability to complete tasks outlined in elements and performance criteria of this unit, manage tasks and manage co</w:t>
      </w:r>
      <w:r w:rsidRPr="005F05BD">
        <w:t xml:space="preserve">ntingencies in the context of the job role. There must be evidence that the candidate has: </w:t>
      </w:r>
    </w:p>
    <w:p w:rsidR="00000000" w:rsidRPr="005F05BD" w:rsidP="005F05BD">
      <w:pPr>
        <w:pStyle w:val="ListBullet"/>
      </w:pPr>
      <w:r w:rsidRPr="005F05BD">
        <w:t>undertaken work in adherence with Nursing and Midwifery Board of Australia professional practice standards, codes and guidelines</w:t>
      </w:r>
    </w:p>
    <w:p w:rsidR="00000000" w:rsidRPr="005F05BD" w:rsidP="005F05BD">
      <w:pPr>
        <w:pStyle w:val="ListBullet"/>
      </w:pPr>
      <w:r w:rsidRPr="005F05BD">
        <w:t>registered and assessed 3 people a</w:t>
      </w:r>
      <w:r w:rsidRPr="005F05BD">
        <w:t xml:space="preserve">s donors for blood or blood products. </w:t>
      </w:r>
    </w:p>
    <w:p w:rsidR="00000000" w:rsidRPr="005F05BD" w:rsidP="005F05BD">
      <w:pPr>
        <w:pStyle w:val="AllowPageBreak"/>
      </w:pPr>
    </w:p>
    <w:p w:rsidR="00000000" w:rsidRPr="005F05BD" w:rsidP="005F05BD">
      <w:pPr>
        <w:pStyle w:val="Heading1"/>
      </w:pPr>
      <w:bookmarkStart w:id="3" w:name="O_820826"/>
      <w:bookmarkEnd w:id="3"/>
      <w:r w:rsidRPr="005F05BD">
        <w:t>Knowledge Evidence</w:t>
      </w:r>
    </w:p>
    <w:p w:rsidR="00000000" w:rsidRPr="005F05BD" w:rsidP="008C1C92">
      <w:pPr>
        <w:pStyle w:val="BodyText"/>
      </w:pPr>
      <w:r w:rsidRPr="005F05BD">
        <w:t>The candidate must be able to demonstrate essential knowledge required to effectively complete tasks outlined in elements and performance criteria of t</w:t>
      </w:r>
      <w:r w:rsidRPr="005F05BD">
        <w:t xml:space="preserve">his unit, manage tasks and manage contingencies in the context of the work role. This includes knowledge of: </w:t>
      </w:r>
    </w:p>
    <w:p w:rsidR="00000000" w:rsidRPr="005F05BD" w:rsidP="005F05BD">
      <w:pPr>
        <w:pStyle w:val="ListBullet"/>
      </w:pPr>
      <w:r w:rsidRPr="005F05BD">
        <w:t>apheresis – the process of ‘skimming off’ the stem cells from blood to be used for transplant or stored in frozen form until needed</w:t>
      </w:r>
    </w:p>
    <w:p w:rsidR="00000000" w:rsidRPr="005F05BD" w:rsidP="005F05BD">
      <w:pPr>
        <w:pStyle w:val="ListBullet"/>
      </w:pPr>
      <w:r w:rsidRPr="005F05BD">
        <w:t xml:space="preserve">organisation </w:t>
      </w:r>
      <w:r w:rsidRPr="005F05BD">
        <w:t>policy and procedures, including standard operating procedures (SOPs)</w:t>
      </w:r>
    </w:p>
    <w:p w:rsidR="00000000" w:rsidRPr="005F05BD" w:rsidP="005F05BD">
      <w:pPr>
        <w:pStyle w:val="ListBullet"/>
      </w:pPr>
      <w:r w:rsidRPr="005F05BD">
        <w:t>documentation and components of donor declaration form</w:t>
      </w:r>
    </w:p>
    <w:p w:rsidR="00000000" w:rsidRPr="005F05BD" w:rsidP="005F05BD">
      <w:pPr>
        <w:pStyle w:val="ListBullet"/>
      </w:pPr>
      <w:r w:rsidRPr="005F05BD">
        <w:t>importance and potential impact of the quality of the donation, and the reasons for careful selection of donors of blood or blood c</w:t>
      </w:r>
      <w:r w:rsidRPr="005F05BD">
        <w:t>omponents including:</w:t>
      </w:r>
    </w:p>
    <w:p w:rsidR="00000000" w:rsidRPr="005F05BD" w:rsidP="005F05BD">
      <w:pPr>
        <w:pStyle w:val="ListBullet2"/>
      </w:pPr>
      <w:r w:rsidRPr="005F05BD">
        <w:t>infectious diseases and their incubation periods</w:t>
      </w:r>
    </w:p>
    <w:p w:rsidR="00000000" w:rsidRPr="005F05BD" w:rsidP="005F05BD">
      <w:pPr>
        <w:pStyle w:val="ListBullet2"/>
      </w:pPr>
      <w:r w:rsidRPr="005F05BD">
        <w:t>age, height and weight</w:t>
      </w:r>
    </w:p>
    <w:p w:rsidR="00000000" w:rsidRPr="005F05BD" w:rsidP="005F05BD">
      <w:pPr>
        <w:pStyle w:val="ListBullet2"/>
      </w:pPr>
      <w:r w:rsidRPr="005F05BD">
        <w:t>health of donor including recent surgery, invasive procedures, immunisations, injury or illness</w:t>
      </w:r>
    </w:p>
    <w:p w:rsidR="00000000" w:rsidRPr="005F05BD" w:rsidP="005F05BD">
      <w:pPr>
        <w:pStyle w:val="ListBullet2"/>
      </w:pPr>
      <w:r w:rsidRPr="005F05BD">
        <w:t>family health history</w:t>
      </w:r>
    </w:p>
    <w:p w:rsidR="00000000" w:rsidRPr="005F05BD" w:rsidP="005F05BD">
      <w:pPr>
        <w:pStyle w:val="ListBullet2"/>
      </w:pPr>
      <w:r w:rsidRPr="005F05BD">
        <w:t>frequency of donation</w:t>
      </w:r>
    </w:p>
    <w:p w:rsidR="00000000" w:rsidRPr="005F05BD" w:rsidP="005F05BD">
      <w:pPr>
        <w:pStyle w:val="ListBullet2"/>
      </w:pPr>
      <w:r w:rsidRPr="005F05BD">
        <w:t>geographical locations</w:t>
      </w:r>
      <w:r w:rsidRPr="005F05BD">
        <w:t xml:space="preserve"> prior to donation which require special consideration</w:t>
      </w:r>
    </w:p>
    <w:p w:rsidR="00000000" w:rsidRPr="005F05BD" w:rsidP="005F05BD">
      <w:pPr>
        <w:pStyle w:val="ListBullet2"/>
      </w:pPr>
      <w:r w:rsidRPr="005F05BD">
        <w:t>lifestyle</w:t>
      </w:r>
    </w:p>
    <w:p w:rsidR="00000000" w:rsidRPr="005F05BD" w:rsidP="005F05BD">
      <w:pPr>
        <w:pStyle w:val="ListBullet2"/>
      </w:pPr>
      <w:r w:rsidRPr="005F05BD">
        <w:t>medications</w:t>
      </w:r>
    </w:p>
    <w:p w:rsidR="00000000" w:rsidRPr="005F05BD" w:rsidP="005F05BD">
      <w:pPr>
        <w:pStyle w:val="ListBullet2"/>
      </w:pPr>
      <w:r w:rsidRPr="005F05BD">
        <w:t>occupational activities that are considered hazardous</w:t>
      </w:r>
    </w:p>
    <w:p w:rsidR="00000000" w:rsidRPr="005F05BD" w:rsidP="005F05BD">
      <w:pPr>
        <w:pStyle w:val="ListBullet2"/>
      </w:pPr>
      <w:r w:rsidRPr="005F05BD">
        <w:t>recreational activities that are considered hazardous</w:t>
      </w:r>
    </w:p>
    <w:p w:rsidR="00000000" w:rsidRPr="005F05BD" w:rsidP="005F05BD">
      <w:pPr>
        <w:pStyle w:val="ListBullet2"/>
      </w:pPr>
      <w:r w:rsidRPr="005F05BD">
        <w:t>workers compensation</w:t>
      </w:r>
    </w:p>
    <w:p w:rsidR="00000000" w:rsidRPr="005F05BD" w:rsidP="005F05BD">
      <w:pPr>
        <w:pStyle w:val="ListBullet2"/>
      </w:pPr>
      <w:r w:rsidRPr="005F05BD">
        <w:t>safety of blood supply</w:t>
      </w:r>
    </w:p>
    <w:p w:rsidR="00000000" w:rsidRPr="005F05BD" w:rsidP="005F05BD">
      <w:pPr>
        <w:pStyle w:val="ListBullet2"/>
      </w:pPr>
      <w:r w:rsidRPr="005F05BD">
        <w:t>safety of recipients</w:t>
      </w:r>
    </w:p>
    <w:p w:rsidR="00000000" w:rsidRPr="005F05BD" w:rsidP="005F05BD">
      <w:pPr>
        <w:pStyle w:val="ListBullet2"/>
      </w:pPr>
      <w:r w:rsidRPr="005F05BD">
        <w:t>safety of service provided to customers</w:t>
      </w:r>
    </w:p>
    <w:p w:rsidR="00000000" w:rsidRPr="005F05BD" w:rsidP="005F05BD">
      <w:pPr>
        <w:pStyle w:val="ListBullet2"/>
      </w:pPr>
      <w:r w:rsidRPr="005F05BD">
        <w:t>safety of staff</w:t>
      </w:r>
    </w:p>
    <w:p w:rsidR="00000000" w:rsidRPr="005F05BD" w:rsidP="005F05BD">
      <w:pPr>
        <w:pStyle w:val="ListBullet2"/>
      </w:pPr>
      <w:r w:rsidRPr="005F05BD">
        <w:t>production of a quality product</w:t>
      </w:r>
    </w:p>
    <w:p w:rsidR="00000000" w:rsidRPr="005F05BD" w:rsidP="005F05BD">
      <w:pPr>
        <w:pStyle w:val="ListBullet"/>
      </w:pPr>
      <w:r w:rsidRPr="005F05BD">
        <w:t>types of donations including:</w:t>
      </w:r>
    </w:p>
    <w:p w:rsidR="00000000" w:rsidRPr="005F05BD" w:rsidP="005F05BD">
      <w:pPr>
        <w:pStyle w:val="ListBullet2"/>
      </w:pPr>
      <w:r w:rsidRPr="005F05BD">
        <w:t>plasma</w:t>
      </w:r>
    </w:p>
    <w:p w:rsidR="00000000" w:rsidRPr="005F05BD" w:rsidP="005F05BD">
      <w:pPr>
        <w:pStyle w:val="ListBullet2"/>
      </w:pPr>
      <w:r w:rsidRPr="005F05BD">
        <w:t>platelet</w:t>
      </w:r>
    </w:p>
    <w:p w:rsidR="00000000" w:rsidRPr="005F05BD" w:rsidP="005F05BD">
      <w:pPr>
        <w:pStyle w:val="ListBullet2"/>
      </w:pPr>
      <w:r w:rsidRPr="005F05BD">
        <w:t xml:space="preserve">red blood cell plasma </w:t>
      </w:r>
    </w:p>
    <w:p w:rsidR="00000000" w:rsidRPr="005F05BD" w:rsidP="005F05BD">
      <w:pPr>
        <w:pStyle w:val="ListBullet"/>
      </w:pPr>
      <w:r w:rsidRPr="005F05BD">
        <w:t xml:space="preserve">purpose and use of apheresis donations including timeframe requirements </w:t>
      </w:r>
    </w:p>
    <w:p w:rsidR="00000000" w:rsidRPr="005F05BD" w:rsidP="005F05BD">
      <w:pPr>
        <w:pStyle w:val="ListBullet"/>
      </w:pPr>
      <w:r w:rsidRPr="005F05BD">
        <w:t>purpose and use of bloo</w:t>
      </w:r>
      <w:r w:rsidRPr="005F05BD">
        <w:t xml:space="preserve">d and blood products, including types and functions of infusion and transfusion </w:t>
      </w:r>
    </w:p>
    <w:p w:rsidR="00000000" w:rsidRPr="005F05BD" w:rsidP="005F05BD">
      <w:pPr>
        <w:pStyle w:val="ListBullet"/>
      </w:pPr>
      <w:r w:rsidRPr="005F05BD">
        <w:t>safe disposal, and minimisation of waste of resources resulting from collection of unsuitable donations</w:t>
      </w:r>
    </w:p>
    <w:p w:rsidR="00000000" w:rsidRPr="005F05BD" w:rsidP="005F05BD">
      <w:pPr>
        <w:pStyle w:val="ListBullet"/>
      </w:pPr>
      <w:r w:rsidRPr="005F05BD">
        <w:t>World Health Organisation guidelines including:</w:t>
      </w:r>
    </w:p>
    <w:p w:rsidR="00000000" w:rsidRPr="005F05BD" w:rsidP="005F05BD">
      <w:pPr>
        <w:pStyle w:val="ListBullet2"/>
      </w:pPr>
      <w:r w:rsidRPr="005F05BD">
        <w:t>selection of blood donors</w:t>
      </w:r>
    </w:p>
    <w:p w:rsidR="00000000" w:rsidRPr="005F05BD" w:rsidP="005F05BD">
      <w:pPr>
        <w:pStyle w:val="ListBullet2"/>
      </w:pPr>
      <w:r w:rsidRPr="005F05BD">
        <w:t>international travel and health vaccination requirements</w:t>
      </w:r>
    </w:p>
    <w:p w:rsidR="00000000" w:rsidRPr="005F05BD" w:rsidP="005F05BD">
      <w:pPr>
        <w:pStyle w:val="ListBullet"/>
      </w:pPr>
      <w:r w:rsidRPr="005F05BD">
        <w:t>Australian code of good manufacturing practice for human blood and blood components, human tissues and human cellular therapy products</w:t>
      </w:r>
    </w:p>
    <w:p w:rsidR="00000000" w:rsidRPr="005F05BD" w:rsidP="005F05BD">
      <w:pPr>
        <w:pStyle w:val="ListBullet"/>
      </w:pPr>
      <w:r w:rsidRPr="005F05BD">
        <w:t>Australian Red Cross service – for bl</w:t>
      </w:r>
      <w:r w:rsidRPr="005F05BD">
        <w:t>ood and blood products donations</w:t>
      </w:r>
    </w:p>
    <w:p w:rsidR="00000000" w:rsidRPr="005F05BD" w:rsidP="005F05BD">
      <w:pPr>
        <w:pStyle w:val="ListBullet"/>
      </w:pPr>
      <w:r w:rsidRPr="005F05BD">
        <w:t>monthly index of therapeutic agents (MIMS)</w:t>
      </w:r>
    </w:p>
    <w:p w:rsidR="00000000" w:rsidRPr="005F05BD" w:rsidP="005F05BD">
      <w:pPr>
        <w:pStyle w:val="ListBullet"/>
      </w:pPr>
      <w:r w:rsidRPr="005F05BD">
        <w:t>National Blood Transfusion Committee – safe transfusion practice.</w:t>
      </w:r>
    </w:p>
    <w:p w:rsidR="00000000" w:rsidRPr="005F05BD" w:rsidP="005F05BD">
      <w:pPr>
        <w:pStyle w:val="AllowPageBreak"/>
      </w:pPr>
    </w:p>
    <w:p w:rsidR="00000000" w:rsidRPr="005F05BD" w:rsidP="005F05BD">
      <w:pPr>
        <w:pStyle w:val="Heading1"/>
      </w:pPr>
      <w:bookmarkStart w:id="4" w:name="O_820827"/>
      <w:bookmarkEnd w:id="4"/>
      <w:r w:rsidRPr="005F05BD">
        <w:t>Assessment Conditions</w:t>
      </w:r>
    </w:p>
    <w:p w:rsidR="00000000" w:rsidRPr="005F05BD" w:rsidP="008C1C92">
      <w:pPr>
        <w:pStyle w:val="BodyText"/>
      </w:pPr>
      <w:r w:rsidRPr="005F05BD">
        <w:t>Skills must have been demonstrated in the workplace or in a simulated envir</w:t>
      </w:r>
      <w:r w:rsidRPr="005F05BD">
        <w:t>onment that reflects workplace conditions. The following conditions must be met for this unit:</w:t>
      </w:r>
    </w:p>
    <w:p w:rsidR="00000000" w:rsidRPr="005F05BD" w:rsidP="005F05BD">
      <w:pPr>
        <w:pStyle w:val="ListBullet"/>
      </w:pPr>
      <w:r w:rsidRPr="005F05BD">
        <w:t>use of suitable facilities, equipment and resources in line with the Australian Nursing and Midwifery Accreditation Council’s Standards</w:t>
      </w:r>
    </w:p>
    <w:p w:rsidR="00000000" w:rsidRPr="005F05BD" w:rsidP="005F05BD">
      <w:pPr>
        <w:pStyle w:val="ListBullet"/>
      </w:pPr>
      <w:r w:rsidRPr="005F05BD">
        <w:t>modelling of industry op</w:t>
      </w:r>
      <w:r w:rsidRPr="005F05BD">
        <w:t>erating conditions including access to real people for simulations and scenarios in enrolled nursing work.</w:t>
      </w:r>
    </w:p>
    <w:p w:rsidR="00000000" w:rsidRPr="005F05BD" w:rsidP="005F05BD">
      <w:pPr>
        <w:pStyle w:val="BodyText"/>
      </w:pPr>
    </w:p>
    <w:p w:rsidR="00000000" w:rsidRPr="005F05BD" w:rsidP="008C1C92">
      <w:pPr>
        <w:pStyle w:val="BodyText"/>
      </w:pPr>
      <w:r w:rsidRPr="005F05BD">
        <w:t xml:space="preserve">Assessors must satisfy the Standards for Registered Training Organisations (RTOs) 2015/AQTF mandatory competency requirements for assessors </w:t>
      </w:r>
    </w:p>
    <w:p w:rsidR="00000000" w:rsidRPr="005F05BD" w:rsidP="008C1C92">
      <w:pPr>
        <w:pStyle w:val="BodyText"/>
      </w:pPr>
      <w:r w:rsidRPr="005F05BD">
        <w:t>In addition, assessors must hold current registration as a Registered Nurse with Nursing and Midwifery Board of Australia.</w:t>
      </w:r>
    </w:p>
    <w:p w:rsidR="00000000" w:rsidRPr="005F05BD" w:rsidP="005F05BD">
      <w:pPr>
        <w:pStyle w:val="Heading1"/>
      </w:pPr>
      <w:bookmarkStart w:id="5" w:name="O_820830"/>
      <w:bookmarkEnd w:id="5"/>
      <w:r w:rsidRPr="005F05BD">
        <w:t>Links</w:t>
      </w:r>
    </w:p>
    <w:p w:rsidR="00000000" w:rsidRPr="005F05BD" w:rsidP="008C1C92">
      <w:pPr>
        <w:pStyle w:val="BodyText"/>
      </w:pPr>
      <w:r w:rsidRPr="005F05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21BE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F05BD" w:rsidP="005F05BD"/>
    <w:sectPr w:rsidSect="005F05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5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5BD" w:rsidRPr="008C1C92" w:rsidP="008C1C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5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92" w:rsidP="005F05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C92" w:rsidP="005F05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1C92" w:rsidP="005F05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5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5BD" w:rsidRPr="008C1C92" w:rsidP="008C1C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5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92" w:rsidRPr="002D2AF8" w:rsidP="005F05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HLTENN022 Contribute to the registration, eligibility and assessment of donors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8C1C92" w:rsidP="005F05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AE2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288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562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5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5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5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5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5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5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5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5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5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5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5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5BD"/>
  </w:style>
  <w:style w:type="character" w:customStyle="1" w:styleId="Heading1Char">
    <w:name w:val="Heading 1 Char"/>
    <w:basedOn w:val="DefaultParagraphFont"/>
    <w:link w:val="Heading1"/>
    <w:rsid w:val="005F05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5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5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5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5BD"/>
    <w:rPr>
      <w:b/>
      <w:spacing w:val="0"/>
    </w:rPr>
  </w:style>
  <w:style w:type="paragraph" w:styleId="ListBullet2">
    <w:name w:val="List Bullet 2"/>
    <w:basedOn w:val="List2"/>
    <w:rsid w:val="005F05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05BD"/>
    <w:rPr>
      <w:i/>
    </w:rPr>
  </w:style>
  <w:style w:type="paragraph" w:customStyle="1" w:styleId="SuperHeading">
    <w:name w:val="SuperHeading"/>
    <w:basedOn w:val="Normal"/>
    <w:rsid w:val="005F05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5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5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5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5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5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5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5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5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5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5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5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5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5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5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5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5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5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5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5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5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5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5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5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5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5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5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5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5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5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05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5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5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5BD"/>
  </w:style>
  <w:style w:type="paragraph" w:styleId="TableofFigures">
    <w:name w:val="table of figures"/>
    <w:basedOn w:val="Normal"/>
    <w:next w:val="Normal"/>
    <w:semiHidden/>
    <w:rsid w:val="005F05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5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05BD"/>
    <w:rPr>
      <w:rFonts w:ascii="Wingdings" w:hAnsi="Wingdings"/>
    </w:rPr>
  </w:style>
  <w:style w:type="paragraph" w:customStyle="1" w:styleId="TableHeading">
    <w:name w:val="Table Heading"/>
    <w:basedOn w:val="HeadingBase"/>
    <w:rsid w:val="005F05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5BD"/>
    <w:rPr>
      <w:color w:val="0033CC"/>
      <w:u w:val="none"/>
    </w:rPr>
  </w:style>
  <w:style w:type="paragraph" w:customStyle="1" w:styleId="BodyTextRight">
    <w:name w:val="Body Text Right"/>
    <w:basedOn w:val="BodyText"/>
    <w:rsid w:val="005F05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5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5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5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5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5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5BD"/>
    <w:rPr>
      <w:sz w:val="32"/>
    </w:rPr>
  </w:style>
  <w:style w:type="paragraph" w:customStyle="1" w:styleId="HeadingProcedure">
    <w:name w:val="Heading Procedure"/>
    <w:basedOn w:val="HeadingBase"/>
    <w:next w:val="Normal"/>
    <w:rsid w:val="005F05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5BD"/>
    <w:pPr>
      <w:spacing w:before="60" w:after="60"/>
    </w:pPr>
  </w:style>
  <w:style w:type="paragraph" w:styleId="ListContinue">
    <w:name w:val="List Continue"/>
    <w:basedOn w:val="List"/>
    <w:rsid w:val="005F05BD"/>
    <w:pPr>
      <w:ind w:firstLine="0"/>
    </w:pPr>
  </w:style>
  <w:style w:type="paragraph" w:customStyle="1" w:styleId="ListNote">
    <w:name w:val="List Note"/>
    <w:basedOn w:val="List"/>
    <w:rsid w:val="005F05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5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5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5BD"/>
    <w:rPr>
      <w:rFonts w:ascii="Courier New" w:hAnsi="Courier New"/>
    </w:rPr>
  </w:style>
  <w:style w:type="paragraph" w:customStyle="1" w:styleId="NoteBullet">
    <w:name w:val="Note Bullet"/>
    <w:basedOn w:val="Note"/>
    <w:rsid w:val="005F05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5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5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5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5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5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5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5BD"/>
    <w:rPr>
      <w:b/>
      <w:smallCaps/>
    </w:rPr>
  </w:style>
  <w:style w:type="paragraph" w:customStyle="1" w:styleId="TableListNumber">
    <w:name w:val="Table List Number"/>
    <w:basedOn w:val="ListNumber"/>
    <w:rsid w:val="005F05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5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5BD"/>
    <w:pPr>
      <w:numPr>
        <w:numId w:val="9"/>
      </w:numPr>
    </w:pPr>
  </w:style>
  <w:style w:type="paragraph" w:customStyle="1" w:styleId="ListAlpha2">
    <w:name w:val="List Alpha 2"/>
    <w:basedOn w:val="List2"/>
    <w:rsid w:val="005F05BD"/>
    <w:pPr>
      <w:numPr>
        <w:numId w:val="8"/>
      </w:numPr>
    </w:pPr>
  </w:style>
  <w:style w:type="paragraph" w:styleId="List2">
    <w:name w:val="List 2"/>
    <w:basedOn w:val="BodyText"/>
    <w:rsid w:val="005F05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5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5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5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5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5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05BD"/>
    <w:pPr>
      <w:numPr>
        <w:numId w:val="4"/>
      </w:numPr>
    </w:pPr>
  </w:style>
  <w:style w:type="paragraph" w:styleId="ListContinue2">
    <w:name w:val="List Continue 2"/>
    <w:basedOn w:val="List2"/>
    <w:rsid w:val="005F05BD"/>
    <w:pPr>
      <w:ind w:firstLine="0"/>
    </w:pPr>
  </w:style>
  <w:style w:type="paragraph" w:styleId="ListContinue3">
    <w:name w:val="List Continue 3"/>
    <w:basedOn w:val="List3"/>
    <w:rsid w:val="005F05BD"/>
    <w:pPr>
      <w:ind w:left="1021" w:firstLine="0"/>
    </w:pPr>
  </w:style>
  <w:style w:type="paragraph" w:styleId="ListContinue4">
    <w:name w:val="List Continue 4"/>
    <w:basedOn w:val="List4"/>
    <w:rsid w:val="005F05BD"/>
    <w:pPr>
      <w:ind w:firstLine="0"/>
    </w:pPr>
  </w:style>
  <w:style w:type="paragraph" w:styleId="ListContinue5">
    <w:name w:val="List Continue 5"/>
    <w:basedOn w:val="List5"/>
    <w:rsid w:val="005F05BD"/>
    <w:pPr>
      <w:ind w:firstLine="0"/>
    </w:pPr>
  </w:style>
  <w:style w:type="paragraph" w:styleId="ListNumber3">
    <w:name w:val="List Number 3"/>
    <w:basedOn w:val="List3"/>
    <w:rsid w:val="005F05BD"/>
    <w:pPr>
      <w:numPr>
        <w:numId w:val="5"/>
      </w:numPr>
    </w:pPr>
  </w:style>
  <w:style w:type="paragraph" w:styleId="ListNumber4">
    <w:name w:val="List Number 4"/>
    <w:basedOn w:val="List4"/>
    <w:rsid w:val="005F05BD"/>
    <w:pPr>
      <w:numPr>
        <w:numId w:val="6"/>
      </w:numPr>
    </w:pPr>
  </w:style>
  <w:style w:type="paragraph" w:styleId="ListNumber5">
    <w:name w:val="List Number 5"/>
    <w:basedOn w:val="List5"/>
    <w:rsid w:val="005F05BD"/>
    <w:pPr>
      <w:numPr>
        <w:numId w:val="7"/>
      </w:numPr>
    </w:pPr>
  </w:style>
  <w:style w:type="paragraph" w:styleId="BlockText">
    <w:name w:val="Block Text"/>
    <w:basedOn w:val="Normal"/>
    <w:rsid w:val="005F05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5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5BD"/>
    <w:rPr>
      <w:sz w:val="16"/>
      <w:vertAlign w:val="superscript"/>
    </w:rPr>
  </w:style>
  <w:style w:type="character" w:customStyle="1" w:styleId="Symbols">
    <w:name w:val="Symbols"/>
    <w:basedOn w:val="DefaultParagraphFont"/>
    <w:rsid w:val="005F05BD"/>
    <w:rPr>
      <w:rFonts w:ascii="Symbol" w:hAnsi="Symbol"/>
    </w:rPr>
  </w:style>
  <w:style w:type="character" w:customStyle="1" w:styleId="MenuOptions">
    <w:name w:val="Menu Options"/>
    <w:basedOn w:val="DefaultParagraphFont"/>
    <w:rsid w:val="005F05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5BD"/>
    <w:rPr>
      <w:b/>
    </w:rPr>
  </w:style>
  <w:style w:type="character" w:customStyle="1" w:styleId="Underlined">
    <w:name w:val="Underlined"/>
    <w:basedOn w:val="DefaultParagraphFont"/>
    <w:rsid w:val="005F05BD"/>
    <w:rPr>
      <w:u w:val="single"/>
    </w:rPr>
  </w:style>
  <w:style w:type="paragraph" w:customStyle="1" w:styleId="TableBodyTextRight">
    <w:name w:val="Table Body Text Right"/>
    <w:basedOn w:val="TableBodyText"/>
    <w:rsid w:val="005F05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5BD"/>
    <w:rPr>
      <w:sz w:val="18"/>
    </w:rPr>
  </w:style>
  <w:style w:type="paragraph" w:customStyle="1" w:styleId="BodySmallRight">
    <w:name w:val="Body Small Right"/>
    <w:basedOn w:val="BodyTextRight"/>
    <w:rsid w:val="005F05BD"/>
    <w:rPr>
      <w:sz w:val="18"/>
      <w:szCs w:val="18"/>
    </w:rPr>
  </w:style>
  <w:style w:type="paragraph" w:customStyle="1" w:styleId="MarginEdition">
    <w:name w:val="Margin Edition"/>
    <w:basedOn w:val="MarginNote"/>
    <w:rsid w:val="005F05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5BD"/>
    <w:rPr>
      <w:sz w:val="2"/>
      <w:szCs w:val="2"/>
    </w:rPr>
  </w:style>
  <w:style w:type="character" w:customStyle="1" w:styleId="Small">
    <w:name w:val="Small"/>
    <w:basedOn w:val="DefaultParagraphFont"/>
    <w:rsid w:val="005F05BD"/>
    <w:rPr>
      <w:sz w:val="16"/>
    </w:rPr>
  </w:style>
  <w:style w:type="paragraph" w:customStyle="1" w:styleId="WideTable">
    <w:name w:val="Wide Table"/>
    <w:basedOn w:val="Normal"/>
    <w:rsid w:val="005F05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5BD"/>
  </w:style>
  <w:style w:type="paragraph" w:styleId="Quote">
    <w:name w:val="Quote"/>
    <w:basedOn w:val="Heading1"/>
    <w:link w:val="QuoteChar"/>
    <w:qFormat/>
    <w:rsid w:val="005F05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5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5BD"/>
    <w:pPr>
      <w:pageBreakBefore/>
    </w:pPr>
  </w:style>
  <w:style w:type="paragraph" w:customStyle="1" w:styleId="Border">
    <w:name w:val="Border"/>
    <w:basedOn w:val="Normal"/>
    <w:qFormat/>
    <w:rsid w:val="005F05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5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5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5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5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5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5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5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5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5BD"/>
    <w:rPr>
      <w:u w:val="single"/>
    </w:rPr>
  </w:style>
  <w:style w:type="character" w:customStyle="1" w:styleId="BoldandItalics">
    <w:name w:val="Bold and Italics"/>
    <w:qFormat/>
    <w:rsid w:val="005F05BD"/>
    <w:rPr>
      <w:b/>
      <w:i/>
      <w:u w:val="none"/>
    </w:rPr>
  </w:style>
  <w:style w:type="paragraph" w:styleId="BalloonText">
    <w:name w:val="Balloon Text"/>
    <w:basedOn w:val="Normal"/>
    <w:link w:val="BalloonTextChar"/>
    <w:rsid w:val="005F0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5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5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5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5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5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5BD"/>
    <w:pPr>
      <w:spacing w:before="0" w:after="0"/>
    </w:pPr>
  </w:style>
  <w:style w:type="paragraph" w:customStyle="1" w:styleId="BodyTextBold">
    <w:name w:val="Body Text Bold"/>
    <w:basedOn w:val="BodyText"/>
    <w:qFormat/>
    <w:rsid w:val="005F05BD"/>
    <w:rPr>
      <w:b/>
    </w:rPr>
  </w:style>
  <w:style w:type="character" w:styleId="Hyperlink">
    <w:name w:val="Hyperlink"/>
    <w:basedOn w:val="DefaultParagraphFont"/>
    <w:uiPriority w:val="99"/>
    <w:unhideWhenUsed/>
    <w:rsid w:val="008C1C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3681</Characters>
  <Application>Microsoft Office Word</Application>
  <DocSecurity>0</DocSecurity>
  <Lines>94</Lines>
  <Paragraphs>67</Paragraphs>
  <ScaleCrop>false</ScaleCrop>
  <Company>Author-it Software Corporation Ltd.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HLTENN022 Contribute to the registration, eligibility and assessment of donors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2021-03-18T05:58:00Z</dcterms:created>
  <dcterms:modified xsi:type="dcterms:W3CDTF">2021-03-18T05:58:00Z</dcterms:modified>
</cp:coreProperties>
</file>