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912" w:rsidP="00804912">
      <w:pPr>
        <w:pStyle w:val="Title"/>
      </w:pPr>
      <w:r>
        <w:fldChar w:fldCharType="begin"/>
      </w:r>
      <w:r>
        <w:instrText xml:space="preserve"> TITLE   \* MERGEFORMAT </w:instrText>
      </w:r>
      <w:r>
        <w:fldChar w:fldCharType="separate"/>
      </w:r>
      <w:r>
        <w:t>HLTENN017 Apply nursing practice in the orthopaedic care setting</w:t>
      </w:r>
      <w:r>
        <w:fldChar w:fldCharType="end"/>
      </w:r>
    </w:p>
    <w:p w:rsidR="00804912" w:rsidP="00804912">
      <w:pPr>
        <w:pStyle w:val="Version"/>
        <w:sectPr w:rsidSect="008D2F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FC4" w:rsidP="008D2FC4">
      <w:pPr>
        <w:pStyle w:val="SuperHeading"/>
      </w:pPr>
      <w:r w:rsidRPr="008D2FC4">
        <w:t>HLTENN017 Apply nursing practice in the orthopaedic care setting</w:t>
      </w:r>
    </w:p>
    <w:p w:rsidR="00000000" w:rsidRPr="008D2FC4" w:rsidP="008D2FC4">
      <w:pPr>
        <w:pStyle w:val="Heading1"/>
      </w:pPr>
      <w:bookmarkStart w:id="1" w:name="O_820833"/>
      <w:bookmarkEnd w:id="1"/>
      <w:r w:rsidRPr="008D2FC4">
        <w:t>Modification History</w:t>
      </w:r>
    </w:p>
    <w:tbl>
      <w:tblPr>
        <w:tblW w:w="0" w:type="auto"/>
        <w:tblLayout w:type="fixed"/>
        <w:tblCellMar>
          <w:left w:w="62" w:type="dxa"/>
          <w:right w:w="62" w:type="dxa"/>
        </w:tblCellMar>
        <w:tblLook w:val="0000"/>
      </w:tblPr>
      <w:tblGrid>
        <w:gridCol w:w="2790"/>
        <w:gridCol w:w="6344"/>
      </w:tblGrid>
      <w:tr w:rsidTr="008D2F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FC4" w:rsidP="008D2FC4">
            <w:pPr>
              <w:pStyle w:val="BodyText"/>
            </w:pPr>
            <w:r w:rsidRPr="008D2F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FC4">
            <w:pPr>
              <w:pStyle w:val="BodyText"/>
              <w:rPr>
                <w:lang w:val="en-NZ"/>
              </w:rPr>
            </w:pPr>
            <w:r w:rsidRPr="008D2FC4">
              <w:rPr>
                <w:rStyle w:val="SpecialBold"/>
              </w:rPr>
              <w:t>Comments</w:t>
            </w:r>
          </w:p>
        </w:tc>
      </w:tr>
      <w:tr w:rsidTr="008D2F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FC4">
            <w:pPr>
              <w:pStyle w:val="BodyText"/>
              <w:rPr>
                <w:lang w:val="en-NZ"/>
              </w:rPr>
            </w:pPr>
            <w:r w:rsidRPr="008D2F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FC4" w:rsidP="008D2FC4">
            <w:pPr>
              <w:pStyle w:val="BodyText"/>
            </w:pPr>
            <w:r w:rsidRPr="008D2FC4">
              <w:t xml:space="preserve">This version was released in </w:t>
            </w:r>
            <w:r w:rsidRPr="008D2FC4">
              <w:rPr>
                <w:rStyle w:val="Emphasis"/>
              </w:rPr>
              <w:t>HLT Health Training Package release 3.0</w:t>
            </w:r>
            <w:r w:rsidRPr="008D2FC4">
              <w:t xml:space="preserve"> and meets the requirements of the 2012 Standards for Training Packages.</w:t>
            </w:r>
          </w:p>
          <w:p w:rsidR="00000000" w:rsidRPr="008D2FC4" w:rsidP="008D2FC4">
            <w:pPr>
              <w:pStyle w:val="BodyText"/>
            </w:pPr>
            <w:r w:rsidRPr="008D2FC4">
              <w:t>Significant changes to the elements and performance criteria. New evidence requirements for assessment, including volume and frequency requirements. Minimal change to knowledge eviden</w:t>
            </w:r>
            <w:r w:rsidRPr="008D2FC4">
              <w:t>ce.</w:t>
            </w:r>
          </w:p>
          <w:p w:rsidR="00000000" w:rsidRPr="008D2FC4" w:rsidP="008D2FC4">
            <w:pPr>
              <w:pStyle w:val="BodyText"/>
            </w:pPr>
            <w:r w:rsidRPr="008D2FC4">
              <w:t>Supersedes HLTEN601B</w:t>
            </w:r>
          </w:p>
        </w:tc>
      </w:tr>
    </w:tbl>
    <w:p w:rsidR="00000000" w:rsidRPr="008D2FC4" w:rsidP="008D2FC4">
      <w:pPr>
        <w:pStyle w:val="BodyText"/>
      </w:pPr>
    </w:p>
    <w:p w:rsidR="00000000" w:rsidRPr="008D2FC4" w:rsidP="008D2FC4">
      <w:pPr>
        <w:pStyle w:val="AllowPageBreak"/>
      </w:pPr>
    </w:p>
    <w:p w:rsidR="00000000" w:rsidRPr="008D2FC4" w:rsidP="008D2FC4">
      <w:pPr>
        <w:pStyle w:val="Heading1"/>
      </w:pPr>
      <w:bookmarkStart w:id="2" w:name="O_820834"/>
      <w:bookmarkEnd w:id="2"/>
      <w:r w:rsidRPr="008D2FC4">
        <w:t>Application</w:t>
      </w:r>
    </w:p>
    <w:p w:rsidR="00000000" w:rsidRPr="008D2FC4" w:rsidP="00804912">
      <w:pPr>
        <w:pStyle w:val="BodyText"/>
      </w:pPr>
      <w:r w:rsidRPr="008D2FC4">
        <w:t>This unit describes the skills and knowledge required to assist people with an orthopaedic conditions to regain optimal function and lifestyle.</w:t>
      </w:r>
    </w:p>
    <w:p w:rsidR="00000000" w:rsidRPr="008D2FC4" w:rsidP="00804912">
      <w:pPr>
        <w:pStyle w:val="BodyText"/>
      </w:pPr>
      <w:r w:rsidRPr="008D2FC4">
        <w:t>Enrolled nurses providing orthopaedic nursing care nee</w:t>
      </w:r>
      <w:r w:rsidRPr="008D2FC4">
        <w:t>d to hold and apply specialised in-depth knowledge, effectively integrate theory and practice, and make reliable clinical assessments and judgements.</w:t>
      </w:r>
    </w:p>
    <w:p w:rsidR="00000000" w:rsidRPr="008D2FC4" w:rsidP="00804912">
      <w:pPr>
        <w:pStyle w:val="BodyText"/>
      </w:pPr>
      <w:r w:rsidRPr="008D2FC4">
        <w:t>This unit applies to enrolled nurses, registered with the Nursing and Midwifery Board of Australia, seeki</w:t>
      </w:r>
      <w:r w:rsidRPr="008D2FC4">
        <w:t>ng specialisation in enrolled nurse work that is carried out in consultation and collaboration with registered nurses, and under direct or indirect supervisory arrangements aligned to the Nursing and Midwifery Board of Australia regulatory authority legisl</w:t>
      </w:r>
      <w:r w:rsidRPr="008D2FC4">
        <w:t>ative requirements.</w:t>
      </w:r>
    </w:p>
    <w:p w:rsidR="00000000" w:rsidRPr="00804912" w:rsidP="00804912">
      <w:pPr>
        <w:pStyle w:val="BodyText"/>
        <w:rPr>
          <w:i/>
        </w:rPr>
      </w:pPr>
      <w:r w:rsidRPr="00804912">
        <w:rPr>
          <w:rStyle w:val="Emphasis"/>
        </w:rPr>
        <w:t>The skills in this unit must be applied in accordance with Commonwealth and State/Territory legislation, Australian/New Zealand standards and industry codes of practice.</w:t>
      </w:r>
    </w:p>
    <w:p w:rsidR="00000000" w:rsidRPr="008D2FC4" w:rsidP="008D2FC4">
      <w:pPr>
        <w:pStyle w:val="Heading1"/>
      </w:pPr>
      <w:bookmarkStart w:id="3" w:name="O_820838"/>
      <w:bookmarkEnd w:id="3"/>
      <w:r w:rsidRPr="008D2FC4">
        <w:t>Elements and Performance Criteria</w:t>
      </w:r>
    </w:p>
    <w:tbl>
      <w:tblPr>
        <w:tblW w:w="0" w:type="auto"/>
        <w:tblLayout w:type="fixed"/>
        <w:tblCellMar>
          <w:left w:w="62" w:type="dxa"/>
          <w:right w:w="62" w:type="dxa"/>
        </w:tblCellMar>
        <w:tblLook w:val="0000"/>
      </w:tblPr>
      <w:tblGrid>
        <w:gridCol w:w="3261"/>
        <w:gridCol w:w="5670"/>
      </w:tblGrid>
      <w:tr w:rsidTr="008D2F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D2FC4" w:rsidP="008D2FC4">
            <w:pPr>
              <w:pStyle w:val="BodyText"/>
            </w:pPr>
            <w:r w:rsidRPr="008D2FC4">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8D2FC4">
            <w:pPr>
              <w:pStyle w:val="BodyText"/>
              <w:rPr>
                <w:lang w:val="en-NZ"/>
              </w:rPr>
            </w:pPr>
            <w:r w:rsidRPr="008D2FC4">
              <w:rPr>
                <w:rStyle w:val="SpecialBold"/>
              </w:rPr>
              <w:t>PERFORMANCE CRITERIA</w:t>
            </w:r>
          </w:p>
        </w:tc>
      </w:tr>
      <w:tr w:rsidTr="008D2F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D2FC4" w:rsidP="008D2FC4">
            <w:pPr>
              <w:pStyle w:val="BodyText"/>
            </w:pPr>
            <w:r w:rsidRPr="008D2FC4">
              <w:rPr>
                <w:rStyle w:val="Emphasis"/>
              </w:rPr>
              <w:t xml:space="preserve">Elements define the essential </w:t>
            </w:r>
            <w:r w:rsidRPr="008D2FC4">
              <w:rPr>
                <w:rStyle w:val="Emphasis"/>
              </w:rPr>
              <w:t>outcomes</w:t>
            </w:r>
          </w:p>
        </w:tc>
        <w:tc>
          <w:tcPr>
            <w:tcW w:w="5670" w:type="dxa"/>
            <w:tcBorders>
              <w:top w:val="nil"/>
              <w:left w:val="nil"/>
              <w:bottom w:val="nil"/>
              <w:right w:val="nil"/>
            </w:tcBorders>
            <w:tcMar>
              <w:top w:w="0" w:type="dxa"/>
              <w:left w:w="62" w:type="dxa"/>
              <w:bottom w:w="0" w:type="dxa"/>
              <w:right w:w="62" w:type="dxa"/>
            </w:tcMar>
          </w:tcPr>
          <w:p w:rsidR="00000000" w:rsidP="008D2FC4">
            <w:pPr>
              <w:pStyle w:val="BodyText"/>
              <w:rPr>
                <w:lang w:val="en-NZ"/>
              </w:rPr>
            </w:pPr>
            <w:r w:rsidRPr="008D2FC4">
              <w:rPr>
                <w:rStyle w:val="Emphasis"/>
              </w:rPr>
              <w:t xml:space="preserve">Performance criteria describe the performance needed to </w:t>
            </w:r>
            <w:r w:rsidRPr="008D2FC4">
              <w:rPr>
                <w:rStyle w:val="Emphasis"/>
              </w:rPr>
              <w:t>demonstrate achievement of the element.</w:t>
            </w:r>
          </w:p>
        </w:tc>
      </w:tr>
      <w:tr w:rsidTr="008D2F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2FC4">
            <w:pPr>
              <w:pStyle w:val="BodyText"/>
              <w:rPr>
                <w:lang w:val="en-NZ"/>
              </w:rPr>
            </w:pPr>
            <w:r w:rsidRPr="008D2FC4">
              <w:t>1. Work in interdisciplinary health care team caring for a person with an orthopaedic condition</w:t>
            </w:r>
          </w:p>
        </w:tc>
        <w:tc>
          <w:tcPr>
            <w:tcW w:w="5670" w:type="dxa"/>
            <w:tcBorders>
              <w:top w:val="nil"/>
              <w:left w:val="nil"/>
              <w:bottom w:val="nil"/>
              <w:right w:val="nil"/>
            </w:tcBorders>
            <w:tcMar>
              <w:top w:w="0" w:type="dxa"/>
              <w:left w:w="62" w:type="dxa"/>
              <w:bottom w:w="0" w:type="dxa"/>
              <w:right w:w="62" w:type="dxa"/>
            </w:tcMar>
          </w:tcPr>
          <w:p w:rsidR="00000000" w:rsidRPr="008D2FC4" w:rsidP="008D2FC4">
            <w:pPr>
              <w:pStyle w:val="BodyText"/>
            </w:pPr>
            <w:r w:rsidRPr="008D2FC4">
              <w:t>1.</w:t>
            </w:r>
            <w:r w:rsidRPr="008D2FC4">
              <w:t>1 Provide nursing care that supports the interdisciplinary health care team in caring for the person with an orthopaedic condition</w:t>
            </w:r>
          </w:p>
          <w:p w:rsidR="00000000" w:rsidRPr="008D2FC4" w:rsidP="008D2FC4">
            <w:pPr>
              <w:pStyle w:val="BodyText"/>
            </w:pPr>
            <w:r w:rsidRPr="008D2FC4">
              <w:t>1.2 Work effectively in the interdisciplinary health care team to foster positive group dynamics with other health care profe</w:t>
            </w:r>
            <w:r w:rsidRPr="008D2FC4">
              <w:t>ssionals</w:t>
            </w:r>
          </w:p>
          <w:p w:rsidR="00000000" w:rsidRPr="008D2FC4" w:rsidP="008D2FC4">
            <w:pPr>
              <w:pStyle w:val="BodyText"/>
            </w:pPr>
            <w:r w:rsidRPr="008D2FC4">
              <w:t>1.3 Identify when the acuity of a person is beyond own skills and knowledge and promptly consult with registered nurse and relevant interdisciplinary health care team</w:t>
            </w:r>
          </w:p>
          <w:p w:rsidR="00000000" w:rsidRPr="008D2FC4" w:rsidP="008D2FC4">
            <w:pPr>
              <w:pStyle w:val="BodyText"/>
            </w:pPr>
            <w:r w:rsidRPr="008D2FC4">
              <w:t xml:space="preserve">1.4 Use critical thinking and problem-solving approaches to propose actions and </w:t>
            </w:r>
            <w:r w:rsidRPr="008D2FC4">
              <w:t>implement nursing interventions, in consultation with registered nurse and relevant interdisciplinary health care team</w:t>
            </w:r>
          </w:p>
          <w:p w:rsidR="00000000" w:rsidP="008D2FC4">
            <w:pPr>
              <w:pStyle w:val="BodyText"/>
              <w:rPr>
                <w:lang w:val="en-NZ"/>
              </w:rPr>
            </w:pPr>
          </w:p>
        </w:tc>
      </w:tr>
      <w:tr w:rsidTr="008D2F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2FC4">
            <w:pPr>
              <w:pStyle w:val="BodyText"/>
              <w:rPr>
                <w:lang w:val="en-NZ"/>
              </w:rPr>
            </w:pPr>
            <w:r w:rsidRPr="008D2FC4">
              <w:t>2. Clarify the impact of the orthopaedic condition on the person, family and carer</w:t>
            </w:r>
          </w:p>
        </w:tc>
        <w:tc>
          <w:tcPr>
            <w:tcW w:w="5670" w:type="dxa"/>
            <w:tcBorders>
              <w:top w:val="nil"/>
              <w:left w:val="nil"/>
              <w:bottom w:val="nil"/>
              <w:right w:val="nil"/>
            </w:tcBorders>
            <w:tcMar>
              <w:top w:w="0" w:type="dxa"/>
              <w:left w:w="62" w:type="dxa"/>
              <w:bottom w:w="0" w:type="dxa"/>
              <w:right w:w="62" w:type="dxa"/>
            </w:tcMar>
          </w:tcPr>
          <w:p w:rsidR="00000000" w:rsidRPr="008D2FC4" w:rsidP="008D2FC4">
            <w:pPr>
              <w:pStyle w:val="BodyText"/>
            </w:pPr>
            <w:r w:rsidRPr="008D2FC4">
              <w:t>2.1 Maintain current knowledge of orthopaedic condit</w:t>
            </w:r>
            <w:r w:rsidRPr="008D2FC4">
              <w:t>ions and associated pathophysiology as they apply to each clinical manifestation</w:t>
            </w:r>
          </w:p>
          <w:p w:rsidR="00000000" w:rsidRPr="008D2FC4" w:rsidP="008D2FC4">
            <w:pPr>
              <w:pStyle w:val="BodyText"/>
            </w:pPr>
            <w:r w:rsidRPr="008D2FC4">
              <w:t>2.2 Identify the psychosocial impact and potential complications for the person and clarify their needs</w:t>
            </w:r>
          </w:p>
          <w:p w:rsidR="00000000" w:rsidRPr="008D2FC4" w:rsidP="008D2FC4">
            <w:pPr>
              <w:pStyle w:val="BodyText"/>
            </w:pPr>
            <w:r w:rsidRPr="008D2FC4">
              <w:t>2.3 Discuss impacts and complications of the person’s condition with th</w:t>
            </w:r>
            <w:r w:rsidRPr="008D2FC4">
              <w:t>e person, and their family or carer, as appropriate within scope of practice</w:t>
            </w:r>
          </w:p>
          <w:p w:rsidR="00000000" w:rsidRPr="008D2FC4" w:rsidP="008D2FC4">
            <w:pPr>
              <w:pStyle w:val="BodyText"/>
            </w:pPr>
            <w:r w:rsidRPr="008D2FC4">
              <w:t>2.4 Contribute to long-term management and planning of the recovery phase of care required for the person with an orthopaedic condition</w:t>
            </w:r>
          </w:p>
          <w:p w:rsidR="00000000" w:rsidP="008D2FC4">
            <w:pPr>
              <w:pStyle w:val="BodyText"/>
              <w:rPr>
                <w:lang w:val="en-NZ"/>
              </w:rPr>
            </w:pPr>
          </w:p>
        </w:tc>
      </w:tr>
      <w:tr w:rsidTr="008D2F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2FC4">
            <w:pPr>
              <w:pStyle w:val="BodyText"/>
              <w:rPr>
                <w:lang w:val="en-NZ"/>
              </w:rPr>
            </w:pPr>
            <w:r w:rsidRPr="008D2FC4">
              <w:t>3. Actively promote improvement and advan</w:t>
            </w:r>
            <w:r w:rsidRPr="008D2FC4">
              <w:t>cement of orthopaedic nursing</w:t>
            </w:r>
          </w:p>
        </w:tc>
        <w:tc>
          <w:tcPr>
            <w:tcW w:w="5670" w:type="dxa"/>
            <w:tcBorders>
              <w:top w:val="nil"/>
              <w:left w:val="nil"/>
              <w:bottom w:val="nil"/>
              <w:right w:val="nil"/>
            </w:tcBorders>
            <w:tcMar>
              <w:top w:w="0" w:type="dxa"/>
              <w:left w:w="62" w:type="dxa"/>
              <w:bottom w:w="0" w:type="dxa"/>
              <w:right w:w="62" w:type="dxa"/>
            </w:tcMar>
          </w:tcPr>
          <w:p w:rsidR="00000000" w:rsidRPr="008D2FC4" w:rsidP="008D2FC4">
            <w:pPr>
              <w:pStyle w:val="BodyText"/>
            </w:pPr>
            <w:r w:rsidRPr="008D2FC4">
              <w:t>3.1 Monitor and evaluate own nursing care provided to the person to assist with organisation continuous improvement</w:t>
            </w:r>
          </w:p>
          <w:p w:rsidR="00000000" w:rsidRPr="008D2FC4" w:rsidP="008D2FC4">
            <w:pPr>
              <w:pStyle w:val="BodyText"/>
            </w:pPr>
            <w:r w:rsidRPr="008D2FC4">
              <w:t>3.2 Evaluate nursing interventions provided and consider outcomes against evidence-based best practice in orthopaedic nursing</w:t>
            </w:r>
          </w:p>
          <w:p w:rsidR="00000000" w:rsidRPr="008D2FC4" w:rsidP="008D2FC4">
            <w:pPr>
              <w:pStyle w:val="BodyText"/>
            </w:pPr>
            <w:r w:rsidRPr="008D2FC4">
              <w:t xml:space="preserve">3.3 Seek out opportunities and participate in professional development, acquiring knowledge to guide own practice and acting as a </w:t>
            </w:r>
            <w:r w:rsidRPr="008D2FC4">
              <w:t>resource for colleagues</w:t>
            </w:r>
          </w:p>
        </w:tc>
      </w:tr>
    </w:tbl>
    <w:p w:rsidR="00000000" w:rsidRPr="008D2FC4" w:rsidP="008D2FC4">
      <w:pPr>
        <w:pStyle w:val="BodyText"/>
      </w:pPr>
    </w:p>
    <w:p w:rsidR="00000000" w:rsidRPr="008D2FC4" w:rsidP="008D2FC4">
      <w:pPr>
        <w:pStyle w:val="AllowPageBreak"/>
      </w:pPr>
    </w:p>
    <w:p w:rsidR="00000000" w:rsidRPr="008D2FC4" w:rsidP="008D2FC4">
      <w:pPr>
        <w:pStyle w:val="Heading1"/>
      </w:pPr>
      <w:bookmarkStart w:id="4" w:name="O_820839"/>
      <w:bookmarkEnd w:id="4"/>
      <w:r w:rsidRPr="008D2FC4">
        <w:t>Foundation Skills</w:t>
      </w:r>
    </w:p>
    <w:p w:rsidR="00000000" w:rsidRPr="00804912" w:rsidP="00804912">
      <w:pPr>
        <w:pStyle w:val="BodyText"/>
        <w:rPr>
          <w:i/>
        </w:rPr>
      </w:pPr>
      <w:r w:rsidRPr="00804912">
        <w:rPr>
          <w:rStyle w:val="Emphasis"/>
        </w:rPr>
        <w:t>The Foundation Skills describe those required skills (language, literacy, numeracy and employment skills) that are essential to performance.</w:t>
      </w:r>
    </w:p>
    <w:p w:rsidR="00000000" w:rsidRPr="008D2FC4" w:rsidP="00804912">
      <w:pPr>
        <w:pStyle w:val="BodyText"/>
      </w:pPr>
      <w:r w:rsidRPr="008D2FC4">
        <w:t>Foundation skills essential to performance are explic</w:t>
      </w:r>
      <w:r w:rsidRPr="008D2FC4">
        <w:t>it in the performance criteria of this unit of competency.</w:t>
      </w:r>
    </w:p>
    <w:p w:rsidR="00000000" w:rsidRPr="008D2FC4" w:rsidP="008D2FC4">
      <w:pPr>
        <w:pStyle w:val="Heading1"/>
      </w:pPr>
      <w:bookmarkStart w:id="5" w:name="O_820841"/>
      <w:bookmarkEnd w:id="5"/>
      <w:r w:rsidRPr="008D2FC4">
        <w:t>Unit Mapping Information</w:t>
      </w:r>
    </w:p>
    <w:p w:rsidR="00000000" w:rsidRPr="008D2FC4" w:rsidP="00804912">
      <w:pPr>
        <w:pStyle w:val="BodyText"/>
      </w:pPr>
      <w:r w:rsidRPr="008D2FC4">
        <w:t>No equivalent unit.</w:t>
      </w:r>
    </w:p>
    <w:p w:rsidR="00000000" w:rsidRPr="008D2FC4" w:rsidP="008D2FC4">
      <w:pPr>
        <w:pStyle w:val="Heading1"/>
      </w:pPr>
      <w:bookmarkStart w:id="6" w:name="O_820848"/>
      <w:bookmarkEnd w:id="6"/>
      <w:r w:rsidRPr="008D2FC4">
        <w:t>Links</w:t>
      </w:r>
    </w:p>
    <w:p w:rsidR="00000000" w:rsidRPr="008D2FC4" w:rsidP="00804912">
      <w:pPr>
        <w:pStyle w:val="BodyText"/>
      </w:pPr>
      <w:r w:rsidRPr="008D2F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3AA4">
        <w:rPr>
          <w:rStyle w:val="Hyperlink"/>
        </w:rPr>
        <w:t>https://vetnet.gov.au/Pages/TrainingDocs.aspx?q=ced1390f-48d9-4ab0-bd50-b015e5485705</w:t>
      </w:r>
      <w:r>
        <w:fldChar w:fldCharType="end"/>
      </w:r>
    </w:p>
    <w:p w:rsidR="00000000" w:rsidRPr="008D2FC4" w:rsidP="00804912">
      <w:pPr>
        <w:pStyle w:val="BodyText"/>
        <w:sectPr w:rsidSect="008D2FC4">
          <w:headerReference w:type="default" r:id="rId10"/>
          <w:footerReference w:type="default" r:id="rId11"/>
          <w:pgSz w:w="11908" w:h="16833"/>
          <w:pgMar w:top="1702" w:right="1418" w:bottom="1702" w:left="1418" w:header="992" w:footer="992" w:gutter="0"/>
          <w:cols w:space="720"/>
          <w:noEndnote/>
          <w:docGrid w:linePitch="299"/>
        </w:sectPr>
      </w:pPr>
    </w:p>
    <w:p w:rsidR="00000000" w:rsidRPr="008D2FC4" w:rsidP="008D2FC4">
      <w:pPr>
        <w:pStyle w:val="SuperHeading"/>
      </w:pPr>
      <w:r w:rsidRPr="008D2FC4">
        <w:t>Assessment Requirements for HLTENN017 Apply nursing practice in the orthopaedic care setting</w:t>
      </w:r>
    </w:p>
    <w:p w:rsidR="00000000" w:rsidRPr="008D2FC4" w:rsidP="008D2FC4">
      <w:pPr>
        <w:pStyle w:val="Heading1"/>
      </w:pPr>
      <w:bookmarkStart w:id="7" w:name="O_820843"/>
      <w:bookmarkEnd w:id="7"/>
      <w:r w:rsidRPr="008D2FC4">
        <w:t>Modification History</w:t>
      </w:r>
    </w:p>
    <w:tbl>
      <w:tblPr>
        <w:tblW w:w="0" w:type="auto"/>
        <w:tblLayout w:type="fixed"/>
        <w:tblCellMar>
          <w:left w:w="62" w:type="dxa"/>
          <w:right w:w="62" w:type="dxa"/>
        </w:tblCellMar>
        <w:tblLook w:val="0000"/>
      </w:tblPr>
      <w:tblGrid>
        <w:gridCol w:w="2790"/>
        <w:gridCol w:w="6344"/>
      </w:tblGrid>
      <w:tr w:rsidTr="008D2F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FC4" w:rsidP="008D2FC4">
            <w:pPr>
              <w:pStyle w:val="BodyText"/>
            </w:pPr>
            <w:r w:rsidRPr="008D2F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FC4">
            <w:pPr>
              <w:pStyle w:val="BodyText"/>
              <w:rPr>
                <w:lang w:val="en-NZ"/>
              </w:rPr>
            </w:pPr>
            <w:r w:rsidRPr="008D2FC4">
              <w:rPr>
                <w:rStyle w:val="SpecialBold"/>
              </w:rPr>
              <w:t>Comments</w:t>
            </w:r>
          </w:p>
        </w:tc>
      </w:tr>
      <w:tr w:rsidTr="008D2F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FC4">
            <w:pPr>
              <w:pStyle w:val="BodyText"/>
              <w:rPr>
                <w:lang w:val="en-NZ"/>
              </w:rPr>
            </w:pPr>
            <w:r w:rsidRPr="008D2F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FC4" w:rsidP="008D2FC4">
            <w:pPr>
              <w:pStyle w:val="BodyText"/>
            </w:pPr>
            <w:r w:rsidRPr="008D2FC4">
              <w:t xml:space="preserve">This version was released in </w:t>
            </w:r>
            <w:r w:rsidRPr="008D2FC4">
              <w:rPr>
                <w:rStyle w:val="Emphasis"/>
              </w:rPr>
              <w:t>HLT Health Training Package release 3.0</w:t>
            </w:r>
            <w:r w:rsidRPr="008D2FC4">
              <w:t xml:space="preserve"> and meets the requirements of the 2012 Standards for Training Packages.</w:t>
            </w:r>
          </w:p>
          <w:p w:rsidR="00000000" w:rsidRPr="008D2FC4" w:rsidP="008D2FC4">
            <w:pPr>
              <w:pStyle w:val="BodyText"/>
            </w:pPr>
            <w:r w:rsidRPr="008D2FC4">
              <w:t>Significant changes to the elements and performance criteria. New evidence requirements for assessment, including v</w:t>
            </w:r>
            <w:r w:rsidRPr="008D2FC4">
              <w:t>olume and frequency requirements. Minimal change to knowledge evidence.</w:t>
            </w:r>
          </w:p>
          <w:p w:rsidR="00000000" w:rsidRPr="008D2FC4" w:rsidP="008D2FC4">
            <w:pPr>
              <w:pStyle w:val="BodyText"/>
            </w:pPr>
            <w:r w:rsidRPr="008D2FC4">
              <w:t>Supersedes HLTEN601B</w:t>
            </w:r>
          </w:p>
        </w:tc>
      </w:tr>
    </w:tbl>
    <w:p w:rsidR="00000000" w:rsidRPr="008D2FC4" w:rsidP="008D2FC4">
      <w:pPr>
        <w:pStyle w:val="BodyText"/>
      </w:pPr>
    </w:p>
    <w:p w:rsidR="00000000" w:rsidRPr="008D2FC4" w:rsidP="008D2FC4">
      <w:pPr>
        <w:pStyle w:val="AllowPageBreak"/>
      </w:pPr>
    </w:p>
    <w:p w:rsidR="00000000" w:rsidRPr="008D2FC4" w:rsidP="008D2FC4">
      <w:pPr>
        <w:pStyle w:val="Heading1"/>
      </w:pPr>
      <w:bookmarkStart w:id="8" w:name="O_820844"/>
      <w:bookmarkEnd w:id="8"/>
      <w:r w:rsidRPr="008D2FC4">
        <w:t>Performance Evidence</w:t>
      </w:r>
    </w:p>
    <w:p w:rsidR="00000000" w:rsidRPr="008D2FC4" w:rsidP="00804912">
      <w:pPr>
        <w:pStyle w:val="BodyText"/>
      </w:pPr>
      <w:r w:rsidRPr="008D2FC4">
        <w:t>The candidate must show evidence of the ability to complete tasks outlined in elements and performance criteria of this uni</w:t>
      </w:r>
      <w:r w:rsidRPr="008D2FC4">
        <w:t>t, manage tasks and manage contingencies in the context of the job role. There must be evidence that the candidate has:</w:t>
      </w:r>
    </w:p>
    <w:p w:rsidR="00000000" w:rsidRPr="008D2FC4" w:rsidP="008D2FC4">
      <w:pPr>
        <w:pStyle w:val="ListBullet"/>
      </w:pPr>
      <w:r w:rsidRPr="008D2FC4">
        <w:t>undertaken work in accordance with Nursing and Midwifery Board of Australia professional practice standards, codes and guidelines</w:t>
      </w:r>
    </w:p>
    <w:p w:rsidR="00000000" w:rsidRPr="008D2FC4" w:rsidP="008D2FC4">
      <w:pPr>
        <w:pStyle w:val="ListBullet"/>
      </w:pPr>
      <w:r w:rsidRPr="008D2FC4">
        <w:t>worked as part of the interdisciplinary health care team in the workplace providing orthopaedic nursing interventions for each of the following conditions:</w:t>
      </w:r>
    </w:p>
    <w:p w:rsidR="00000000" w:rsidRPr="008D2FC4" w:rsidP="008D2FC4">
      <w:pPr>
        <w:pStyle w:val="ListBullet2"/>
      </w:pPr>
      <w:r w:rsidRPr="008D2FC4">
        <w:t>fracture with external fixation</w:t>
      </w:r>
    </w:p>
    <w:p w:rsidR="00000000" w:rsidRPr="008D2FC4" w:rsidP="008D2FC4">
      <w:pPr>
        <w:pStyle w:val="ListBullet2"/>
      </w:pPr>
      <w:r w:rsidRPr="008D2FC4">
        <w:t>fracture with internal fixation</w:t>
      </w:r>
    </w:p>
    <w:p w:rsidR="00000000" w:rsidRPr="008D2FC4" w:rsidP="008D2FC4">
      <w:pPr>
        <w:pStyle w:val="ListBullet2"/>
      </w:pPr>
      <w:r w:rsidRPr="008D2FC4">
        <w:t>fracture requiring non-surgical man</w:t>
      </w:r>
      <w:r w:rsidRPr="008D2FC4">
        <w:t>agement</w:t>
      </w:r>
    </w:p>
    <w:p w:rsidR="00000000" w:rsidRPr="008D2FC4" w:rsidP="008D2FC4">
      <w:pPr>
        <w:pStyle w:val="ListBullet2"/>
      </w:pPr>
      <w:r w:rsidRPr="008D2FC4">
        <w:t>musculoskeletal injury where the person requires continuous passive motion therapy (CPM)</w:t>
      </w:r>
    </w:p>
    <w:p w:rsidR="00000000" w:rsidRPr="008D2FC4" w:rsidP="008D2FC4">
      <w:pPr>
        <w:pStyle w:val="ListBullet2"/>
      </w:pPr>
      <w:r w:rsidRPr="008D2FC4">
        <w:t>amputation where the person requires assistance with a prosthetic aid or device</w:t>
      </w:r>
    </w:p>
    <w:p w:rsidR="00000000" w:rsidRPr="008D2FC4" w:rsidP="008D2FC4">
      <w:pPr>
        <w:pStyle w:val="ListBullet"/>
      </w:pPr>
      <w:r w:rsidRPr="008D2FC4">
        <w:t>conducted 2 specific activities in the workplace or simulated environment to s</w:t>
      </w:r>
      <w:r w:rsidRPr="008D2FC4">
        <w:t>upport quality and promote safe innovations in orthopaedic nursing for an interdisciplinary team based on knowledge acquired through own professional development and learning.</w:t>
      </w:r>
    </w:p>
    <w:p w:rsidR="00000000" w:rsidRPr="008D2FC4" w:rsidP="008D2FC4">
      <w:pPr>
        <w:pStyle w:val="AllowPageBreak"/>
      </w:pPr>
    </w:p>
    <w:p w:rsidR="00000000" w:rsidRPr="008D2FC4" w:rsidP="008D2FC4">
      <w:pPr>
        <w:pStyle w:val="Heading1"/>
      </w:pPr>
      <w:bookmarkStart w:id="9" w:name="O_820845"/>
      <w:bookmarkEnd w:id="9"/>
      <w:r w:rsidRPr="008D2FC4">
        <w:t>Knowledge Evidence</w:t>
      </w:r>
    </w:p>
    <w:p w:rsidR="00000000" w:rsidRPr="008D2FC4" w:rsidP="00804912">
      <w:pPr>
        <w:pStyle w:val="BodyText"/>
      </w:pPr>
      <w:r w:rsidRPr="008D2FC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D2FC4">
        <w:t xml:space="preserve">of: </w:t>
      </w:r>
    </w:p>
    <w:p w:rsidR="00000000" w:rsidRPr="008D2FC4" w:rsidP="008D2FC4">
      <w:pPr>
        <w:pStyle w:val="ListBullet"/>
      </w:pPr>
      <w:r w:rsidRPr="008D2FC4">
        <w:t>the impact orthopaedic conditions may have on the person, including:</w:t>
      </w:r>
    </w:p>
    <w:p w:rsidR="00000000" w:rsidRPr="008D2FC4" w:rsidP="008D2FC4">
      <w:pPr>
        <w:pStyle w:val="ListBullet2"/>
      </w:pPr>
      <w:r w:rsidRPr="008D2FC4">
        <w:t>limitations in ability to perform daily living activities</w:t>
      </w:r>
    </w:p>
    <w:p w:rsidR="00000000" w:rsidRPr="008D2FC4" w:rsidP="008D2FC4">
      <w:pPr>
        <w:pStyle w:val="ListBullet2"/>
      </w:pPr>
      <w:r w:rsidRPr="008D2FC4">
        <w:t>loss or limitation of physical function</w:t>
      </w:r>
    </w:p>
    <w:p w:rsidR="00000000" w:rsidRPr="008D2FC4" w:rsidP="008D2FC4">
      <w:pPr>
        <w:pStyle w:val="ListBullet2"/>
      </w:pPr>
      <w:r w:rsidRPr="008D2FC4">
        <w:t xml:space="preserve">reduction in musculoskeletal function </w:t>
      </w:r>
    </w:p>
    <w:p w:rsidR="00000000" w:rsidRPr="008D2FC4" w:rsidP="008D2FC4">
      <w:pPr>
        <w:pStyle w:val="ListBullet2"/>
      </w:pPr>
      <w:r w:rsidRPr="008D2FC4">
        <w:t>accompanying trauma, injuries or impact of secondary disease processes</w:t>
      </w:r>
    </w:p>
    <w:p w:rsidR="00000000" w:rsidRPr="008D2FC4" w:rsidP="008D2FC4">
      <w:pPr>
        <w:pStyle w:val="ListBullet2"/>
      </w:pPr>
      <w:r w:rsidRPr="008D2FC4">
        <w:t>impact on sexuality, relationships, self-image, body image</w:t>
      </w:r>
    </w:p>
    <w:p w:rsidR="00000000" w:rsidRPr="008D2FC4" w:rsidP="008D2FC4">
      <w:pPr>
        <w:pStyle w:val="ListBullet2"/>
      </w:pPr>
      <w:r w:rsidRPr="008D2FC4">
        <w:t xml:space="preserve">grief and loss </w:t>
      </w:r>
    </w:p>
    <w:p w:rsidR="00000000" w:rsidRPr="008D2FC4" w:rsidP="008D2FC4">
      <w:pPr>
        <w:pStyle w:val="ListBullet2"/>
      </w:pPr>
      <w:r w:rsidRPr="008D2FC4">
        <w:t>need for support with personal coping mechanisms and community support mechanisms</w:t>
      </w:r>
    </w:p>
    <w:p w:rsidR="00000000" w:rsidRPr="008D2FC4" w:rsidP="008D2FC4">
      <w:pPr>
        <w:pStyle w:val="ListBullet2"/>
      </w:pPr>
      <w:r w:rsidRPr="008D2FC4">
        <w:t>need for support with mainte</w:t>
      </w:r>
      <w:r w:rsidRPr="008D2FC4">
        <w:t>nance, improvement of quality of life</w:t>
      </w:r>
    </w:p>
    <w:p w:rsidR="00000000" w:rsidRPr="008D2FC4" w:rsidP="008D2FC4">
      <w:pPr>
        <w:pStyle w:val="ListBullet"/>
      </w:pPr>
      <w:r w:rsidRPr="008D2FC4">
        <w:t>anatomy, physiology and pathophysiology of clinical manifestations of orthopaedic conditions, with sufficiently in-depth knowledge to make considered judgements and to contribute professionally to the orthopaedic care</w:t>
      </w:r>
      <w:r w:rsidRPr="008D2FC4">
        <w:t xml:space="preserve"> team</w:t>
      </w:r>
    </w:p>
    <w:p w:rsidR="00000000" w:rsidRPr="008D2FC4" w:rsidP="008D2FC4">
      <w:pPr>
        <w:pStyle w:val="ListBullet2"/>
      </w:pPr>
      <w:r w:rsidRPr="008D2FC4">
        <w:t>musculoskeletal conditions, such as:</w:t>
      </w:r>
    </w:p>
    <w:p w:rsidR="00000000" w:rsidRPr="008D2FC4" w:rsidP="008D2FC4">
      <w:pPr>
        <w:pStyle w:val="ListBullet3"/>
      </w:pPr>
      <w:r w:rsidRPr="008D2FC4">
        <w:t>gout</w:t>
      </w:r>
    </w:p>
    <w:p w:rsidR="00000000" w:rsidRPr="008D2FC4" w:rsidP="008D2FC4">
      <w:pPr>
        <w:pStyle w:val="ListBullet3"/>
      </w:pPr>
      <w:r w:rsidRPr="008D2FC4">
        <w:t>systemic lupus erythematosus</w:t>
      </w:r>
    </w:p>
    <w:p w:rsidR="00000000" w:rsidRPr="008D2FC4" w:rsidP="008D2FC4">
      <w:pPr>
        <w:pStyle w:val="ListBullet3"/>
      </w:pPr>
      <w:r w:rsidRPr="008D2FC4">
        <w:t>osteomyelitis</w:t>
      </w:r>
    </w:p>
    <w:p w:rsidR="00000000" w:rsidRPr="008D2FC4" w:rsidP="008D2FC4">
      <w:pPr>
        <w:pStyle w:val="ListBullet3"/>
      </w:pPr>
      <w:r w:rsidRPr="008D2FC4">
        <w:t>bursitis</w:t>
      </w:r>
    </w:p>
    <w:p w:rsidR="00000000" w:rsidRPr="008D2FC4" w:rsidP="008D2FC4">
      <w:pPr>
        <w:pStyle w:val="ListBullet3"/>
      </w:pPr>
      <w:r w:rsidRPr="008D2FC4">
        <w:t>epicondylitis</w:t>
      </w:r>
    </w:p>
    <w:p w:rsidR="00000000" w:rsidRPr="008D2FC4" w:rsidP="008D2FC4">
      <w:pPr>
        <w:pStyle w:val="ListBullet3"/>
      </w:pPr>
      <w:r w:rsidRPr="008D2FC4">
        <w:t>hallux valgus</w:t>
      </w:r>
    </w:p>
    <w:p w:rsidR="00000000" w:rsidRPr="008D2FC4" w:rsidP="008D2FC4">
      <w:pPr>
        <w:pStyle w:val="ListBullet3"/>
      </w:pPr>
      <w:r w:rsidRPr="008D2FC4">
        <w:t>avascular necrosis</w:t>
      </w:r>
    </w:p>
    <w:p w:rsidR="00000000" w:rsidRPr="008D2FC4" w:rsidP="008D2FC4">
      <w:pPr>
        <w:pStyle w:val="ListBullet3"/>
      </w:pPr>
      <w:r w:rsidRPr="008D2FC4">
        <w:t>compartment syndrome</w:t>
      </w:r>
    </w:p>
    <w:p w:rsidR="00000000" w:rsidRPr="008D2FC4" w:rsidP="008D2FC4">
      <w:pPr>
        <w:pStyle w:val="ListBullet3"/>
      </w:pPr>
      <w:r w:rsidRPr="008D2FC4">
        <w:t>thromboembolism</w:t>
      </w:r>
    </w:p>
    <w:p w:rsidR="00000000" w:rsidRPr="008D2FC4" w:rsidP="008D2FC4">
      <w:pPr>
        <w:pStyle w:val="ListBullet3"/>
      </w:pPr>
      <w:r w:rsidRPr="008D2FC4">
        <w:t>disseminated intravascular coagulation</w:t>
      </w:r>
    </w:p>
    <w:p w:rsidR="00000000" w:rsidRPr="008D2FC4" w:rsidP="008D2FC4">
      <w:pPr>
        <w:pStyle w:val="ListBullet3"/>
      </w:pPr>
      <w:r w:rsidRPr="008D2FC4">
        <w:t>delayed union</w:t>
      </w:r>
    </w:p>
    <w:p w:rsidR="00000000" w:rsidRPr="008D2FC4" w:rsidP="008D2FC4">
      <w:pPr>
        <w:pStyle w:val="ListBullet3"/>
      </w:pPr>
      <w:r w:rsidRPr="008D2FC4">
        <w:t>fat embolism</w:t>
      </w:r>
    </w:p>
    <w:p w:rsidR="00000000" w:rsidRPr="008D2FC4" w:rsidP="008D2FC4">
      <w:pPr>
        <w:pStyle w:val="ListBullet3"/>
      </w:pPr>
      <w:r w:rsidRPr="008D2FC4">
        <w:t>contractures</w:t>
      </w:r>
    </w:p>
    <w:p w:rsidR="00000000" w:rsidRPr="008D2FC4" w:rsidP="008D2FC4">
      <w:pPr>
        <w:pStyle w:val="ListBullet2"/>
      </w:pPr>
      <w:r w:rsidRPr="008D2FC4">
        <w:t>congenital musculoskeletal conditions, such as:</w:t>
      </w:r>
    </w:p>
    <w:p w:rsidR="00000000" w:rsidRPr="008D2FC4" w:rsidP="008D2FC4">
      <w:pPr>
        <w:pStyle w:val="ListBullet3"/>
      </w:pPr>
      <w:r w:rsidRPr="008D2FC4">
        <w:t>torticollis</w:t>
      </w:r>
    </w:p>
    <w:p w:rsidR="00000000" w:rsidRPr="008D2FC4" w:rsidP="008D2FC4">
      <w:pPr>
        <w:pStyle w:val="ListBullet3"/>
      </w:pPr>
      <w:r w:rsidRPr="008D2FC4">
        <w:t>spina bifida</w:t>
      </w:r>
    </w:p>
    <w:p w:rsidR="00000000" w:rsidRPr="008D2FC4" w:rsidP="008D2FC4">
      <w:pPr>
        <w:pStyle w:val="ListBullet"/>
      </w:pPr>
      <w:r w:rsidRPr="008D2FC4">
        <w:t>traumatic musculoskeletal conditions, such as:</w:t>
      </w:r>
    </w:p>
    <w:p w:rsidR="00000000" w:rsidRPr="008D2FC4" w:rsidP="008D2FC4">
      <w:pPr>
        <w:pStyle w:val="ListBullet3"/>
      </w:pPr>
      <w:r w:rsidRPr="008D2FC4">
        <w:t>dislocations</w:t>
      </w:r>
    </w:p>
    <w:p w:rsidR="00000000" w:rsidRPr="008D2FC4" w:rsidP="008D2FC4">
      <w:pPr>
        <w:pStyle w:val="ListBullet3"/>
      </w:pPr>
      <w:r>
        <w:t>•</w:t>
      </w:r>
      <w:r>
        <w:tab/>
      </w:r>
      <w:r w:rsidRPr="008D2FC4">
        <w:t>sprains</w:t>
      </w:r>
    </w:p>
    <w:p w:rsidR="00000000" w:rsidRPr="008D2FC4" w:rsidP="008D2FC4">
      <w:pPr>
        <w:pStyle w:val="ListBullet3"/>
      </w:pPr>
      <w:r>
        <w:t>•</w:t>
      </w:r>
      <w:r>
        <w:tab/>
      </w:r>
      <w:r w:rsidRPr="008D2FC4">
        <w:t>fractures</w:t>
      </w:r>
    </w:p>
    <w:p w:rsidR="00000000" w:rsidRPr="008D2FC4" w:rsidP="008D2FC4">
      <w:pPr>
        <w:pStyle w:val="ListBullet3"/>
      </w:pPr>
      <w:r w:rsidRPr="008D2FC4">
        <w:t>traumatic amputations</w:t>
      </w:r>
    </w:p>
    <w:p w:rsidR="00000000" w:rsidRPr="008D2FC4" w:rsidP="008D2FC4">
      <w:pPr>
        <w:pStyle w:val="ListBullet"/>
      </w:pPr>
      <w:r w:rsidRPr="008D2FC4">
        <w:t>degenerative musculoskeletal conditions, such as:</w:t>
      </w:r>
    </w:p>
    <w:p w:rsidR="00000000" w:rsidRPr="008D2FC4" w:rsidP="008D2FC4">
      <w:pPr>
        <w:pStyle w:val="ListBullet3"/>
      </w:pPr>
      <w:r w:rsidRPr="008D2FC4">
        <w:t>arthritis</w:t>
      </w:r>
    </w:p>
    <w:p w:rsidR="00000000" w:rsidRPr="008D2FC4" w:rsidP="008D2FC4">
      <w:pPr>
        <w:pStyle w:val="ListBullet3"/>
      </w:pPr>
      <w:r w:rsidRPr="008D2FC4">
        <w:t>back pain</w:t>
      </w:r>
    </w:p>
    <w:p w:rsidR="00000000" w:rsidRPr="008D2FC4" w:rsidP="008D2FC4">
      <w:pPr>
        <w:pStyle w:val="ListBullet3"/>
      </w:pPr>
      <w:r w:rsidRPr="008D2FC4">
        <w:t>muscle spasm</w:t>
      </w:r>
    </w:p>
    <w:p w:rsidR="00000000" w:rsidRPr="008D2FC4" w:rsidP="008D2FC4">
      <w:pPr>
        <w:pStyle w:val="ListBullet3"/>
      </w:pPr>
      <w:r w:rsidRPr="008D2FC4">
        <w:t>disc prolapse</w:t>
      </w:r>
    </w:p>
    <w:p w:rsidR="00000000" w:rsidRPr="008D2FC4" w:rsidP="008D2FC4">
      <w:pPr>
        <w:pStyle w:val="ListBullet3"/>
      </w:pPr>
      <w:r w:rsidRPr="008D2FC4">
        <w:t>osteoarthritis</w:t>
      </w:r>
    </w:p>
    <w:p w:rsidR="00000000" w:rsidRPr="008D2FC4" w:rsidP="008D2FC4">
      <w:pPr>
        <w:pStyle w:val="ListBullet3"/>
      </w:pPr>
      <w:r w:rsidRPr="008D2FC4">
        <w:t>osteitis deformans</w:t>
      </w:r>
    </w:p>
    <w:p w:rsidR="00000000" w:rsidRPr="008D2FC4" w:rsidP="008D2FC4">
      <w:pPr>
        <w:pStyle w:val="ListBullet3"/>
      </w:pPr>
      <w:r w:rsidRPr="008D2FC4">
        <w:t>osteomalacia</w:t>
      </w:r>
    </w:p>
    <w:p w:rsidR="00000000" w:rsidRPr="008D2FC4" w:rsidP="008D2FC4">
      <w:pPr>
        <w:pStyle w:val="ListBullet"/>
      </w:pPr>
      <w:r w:rsidRPr="008D2FC4">
        <w:t xml:space="preserve">surgical interventions for musculoskeletal conditions, such as: </w:t>
      </w:r>
    </w:p>
    <w:p w:rsidR="00000000" w:rsidRPr="008D2FC4" w:rsidP="008D2FC4">
      <w:pPr>
        <w:pStyle w:val="ListBullet3"/>
      </w:pPr>
      <w:r w:rsidRPr="008D2FC4">
        <w:t xml:space="preserve">internal and external fixtures for fractures, applications of surgical braces </w:t>
      </w:r>
    </w:p>
    <w:p w:rsidR="00000000" w:rsidRPr="008D2FC4" w:rsidP="008D2FC4">
      <w:pPr>
        <w:pStyle w:val="ListBullet3"/>
      </w:pPr>
      <w:r w:rsidRPr="008D2FC4">
        <w:t xml:space="preserve">removal of bunions </w:t>
      </w:r>
    </w:p>
    <w:p w:rsidR="00000000" w:rsidRPr="008D2FC4" w:rsidP="008D2FC4">
      <w:pPr>
        <w:pStyle w:val="ListBullet3"/>
      </w:pPr>
      <w:r w:rsidRPr="008D2FC4">
        <w:t xml:space="preserve">elective surgical procedures (joint replacement surgery) </w:t>
      </w:r>
    </w:p>
    <w:p w:rsidR="00000000" w:rsidRPr="008D2FC4" w:rsidP="008D2FC4">
      <w:pPr>
        <w:pStyle w:val="ListBullet3"/>
      </w:pPr>
      <w:r w:rsidRPr="008D2FC4">
        <w:t xml:space="preserve">laminectomy </w:t>
      </w:r>
    </w:p>
    <w:p w:rsidR="00000000" w:rsidRPr="008D2FC4" w:rsidP="008D2FC4">
      <w:pPr>
        <w:pStyle w:val="ListBullet3"/>
      </w:pPr>
      <w:r w:rsidRPr="008D2FC4">
        <w:t>surgical amputation</w:t>
      </w:r>
    </w:p>
    <w:p w:rsidR="00000000" w:rsidRPr="008D2FC4" w:rsidP="008D2FC4">
      <w:pPr>
        <w:pStyle w:val="ListBullet"/>
      </w:pPr>
      <w:r w:rsidRPr="008D2FC4">
        <w:t>bone tumours, such as:</w:t>
      </w:r>
    </w:p>
    <w:p w:rsidR="00000000" w:rsidRPr="008D2FC4" w:rsidP="008D2FC4">
      <w:pPr>
        <w:pStyle w:val="ListBullet3"/>
      </w:pPr>
      <w:r w:rsidRPr="008D2FC4">
        <w:t>metastatic bone carcinoma</w:t>
      </w:r>
    </w:p>
    <w:p w:rsidR="00000000" w:rsidRPr="008D2FC4" w:rsidP="008D2FC4">
      <w:pPr>
        <w:pStyle w:val="ListBullet3"/>
      </w:pPr>
      <w:r w:rsidRPr="008D2FC4">
        <w:t xml:space="preserve">multiple myeloma </w:t>
      </w:r>
    </w:p>
    <w:p w:rsidR="00000000" w:rsidRPr="008D2FC4" w:rsidP="008D2FC4">
      <w:pPr>
        <w:pStyle w:val="ListBullet3"/>
      </w:pPr>
      <w:r w:rsidRPr="008D2FC4">
        <w:t xml:space="preserve">bone tuberculosis </w:t>
      </w:r>
    </w:p>
    <w:p w:rsidR="00000000" w:rsidRPr="008D2FC4" w:rsidP="008D2FC4">
      <w:pPr>
        <w:pStyle w:val="ListBullet3"/>
      </w:pPr>
      <w:r w:rsidRPr="008D2FC4">
        <w:t>osteosarcoma</w:t>
      </w:r>
    </w:p>
    <w:p w:rsidR="00000000" w:rsidRPr="008D2FC4" w:rsidP="008D2FC4">
      <w:pPr>
        <w:pStyle w:val="ListBullet3"/>
      </w:pPr>
      <w:r w:rsidRPr="008D2FC4">
        <w:t>chondrosarcoma</w:t>
      </w:r>
    </w:p>
    <w:p w:rsidR="00000000" w:rsidRPr="008D2FC4" w:rsidP="008D2FC4">
      <w:pPr>
        <w:pStyle w:val="ListBullet"/>
      </w:pPr>
      <w:r w:rsidRPr="008D2FC4">
        <w:t>specialised in-depth knowledge of orthopaedic equipment and devices used on the person including:</w:t>
      </w:r>
    </w:p>
    <w:p w:rsidR="00000000" w:rsidRPr="008D2FC4" w:rsidP="008D2FC4">
      <w:pPr>
        <w:pStyle w:val="ListBullet2"/>
      </w:pPr>
      <w:r w:rsidRPr="008D2FC4">
        <w:t>traction devices</w:t>
      </w:r>
    </w:p>
    <w:p w:rsidR="00000000" w:rsidRPr="008D2FC4" w:rsidP="008D2FC4">
      <w:pPr>
        <w:pStyle w:val="ListBullet2"/>
      </w:pPr>
      <w:r w:rsidRPr="008D2FC4">
        <w:t>castings</w:t>
      </w:r>
    </w:p>
    <w:p w:rsidR="00000000" w:rsidRPr="008D2FC4" w:rsidP="008D2FC4">
      <w:pPr>
        <w:pStyle w:val="ListBullet"/>
      </w:pPr>
      <w:r w:rsidRPr="008D2FC4">
        <w:t>community and in-hospital rehabilitation services available for the person with orthopaedic conditions</w:t>
      </w:r>
    </w:p>
    <w:p w:rsidR="00000000" w:rsidRPr="008D2FC4" w:rsidP="008D2FC4">
      <w:pPr>
        <w:pStyle w:val="ListBullet"/>
      </w:pPr>
      <w:r w:rsidRPr="008D2FC4">
        <w:t>diagnostic tests associated</w:t>
      </w:r>
      <w:r w:rsidRPr="008D2FC4">
        <w:t xml:space="preserve"> with orthopaedics and their meanings including: </w:t>
      </w:r>
    </w:p>
    <w:p w:rsidR="00000000" w:rsidRPr="008D2FC4" w:rsidP="008D2FC4">
      <w:pPr>
        <w:pStyle w:val="ListBullet2"/>
      </w:pPr>
      <w:r w:rsidRPr="008D2FC4">
        <w:t>X-rays</w:t>
      </w:r>
    </w:p>
    <w:p w:rsidR="00000000" w:rsidRPr="008D2FC4" w:rsidP="008D2FC4">
      <w:pPr>
        <w:pStyle w:val="ListBullet2"/>
      </w:pPr>
      <w:r w:rsidRPr="008D2FC4">
        <w:t>Computerised Tomography (CT) scans</w:t>
      </w:r>
    </w:p>
    <w:p w:rsidR="00000000" w:rsidRPr="008D2FC4" w:rsidP="008D2FC4">
      <w:pPr>
        <w:pStyle w:val="ListBullet2"/>
      </w:pPr>
      <w:r w:rsidRPr="008D2FC4">
        <w:t>Magnetic Resonance Imaging (MRI) scans</w:t>
      </w:r>
    </w:p>
    <w:p w:rsidR="00000000" w:rsidRPr="008D2FC4" w:rsidP="008D2FC4">
      <w:pPr>
        <w:pStyle w:val="ListBullet2"/>
      </w:pPr>
      <w:r w:rsidRPr="008D2FC4">
        <w:t>ultrasounds</w:t>
      </w:r>
    </w:p>
    <w:p w:rsidR="00000000" w:rsidRPr="008D2FC4" w:rsidP="008D2FC4">
      <w:pPr>
        <w:pStyle w:val="ListBullet2"/>
      </w:pPr>
      <w:r w:rsidRPr="008D2FC4">
        <w:t>bone scans</w:t>
      </w:r>
    </w:p>
    <w:p w:rsidR="00000000" w:rsidRPr="008D2FC4" w:rsidP="008D2FC4">
      <w:pPr>
        <w:pStyle w:val="ListBullet2"/>
      </w:pPr>
      <w:r w:rsidRPr="008D2FC4">
        <w:t xml:space="preserve">biopsies </w:t>
      </w:r>
    </w:p>
    <w:p w:rsidR="00000000" w:rsidRPr="008D2FC4" w:rsidP="008D2FC4">
      <w:pPr>
        <w:pStyle w:val="ListBullet"/>
      </w:pPr>
      <w:r w:rsidRPr="008D2FC4">
        <w:t>specialised medical and surgical nursing management of the person with orthopaedic condition including emergency management of complications</w:t>
      </w:r>
    </w:p>
    <w:p w:rsidR="00000000" w:rsidRPr="008D2FC4" w:rsidP="008D2FC4">
      <w:pPr>
        <w:pStyle w:val="ListBullet"/>
      </w:pPr>
      <w:r w:rsidRPr="008D2FC4">
        <w:t>phases of recovery and how these impact nursing care for the person with orthopaedic condition</w:t>
      </w:r>
    </w:p>
    <w:p w:rsidR="00000000" w:rsidRPr="008D2FC4" w:rsidP="008D2FC4">
      <w:pPr>
        <w:pStyle w:val="ListBullet"/>
      </w:pPr>
      <w:r w:rsidRPr="008D2FC4">
        <w:t xml:space="preserve">reflective practice </w:t>
      </w:r>
      <w:r w:rsidRPr="008D2FC4">
        <w:t>and evidence-based practice in line with current literature and work of professional bodies associated with medical conditions.</w:t>
      </w:r>
    </w:p>
    <w:p w:rsidR="00000000" w:rsidRPr="008D2FC4" w:rsidP="008D2FC4">
      <w:pPr>
        <w:pStyle w:val="AllowPageBreak"/>
      </w:pPr>
    </w:p>
    <w:p w:rsidR="00000000" w:rsidRPr="008D2FC4" w:rsidP="008D2FC4">
      <w:pPr>
        <w:pStyle w:val="Heading1"/>
      </w:pPr>
      <w:bookmarkStart w:id="10" w:name="O_820846"/>
      <w:bookmarkEnd w:id="10"/>
      <w:r w:rsidRPr="008D2FC4">
        <w:t>Assessment Conditions</w:t>
      </w:r>
    </w:p>
    <w:p w:rsidR="00000000" w:rsidRPr="008D2FC4" w:rsidP="00804912">
      <w:pPr>
        <w:pStyle w:val="BodyText"/>
      </w:pPr>
      <w:r w:rsidRPr="008D2FC4">
        <w:t xml:space="preserve">Skills must have been demonstrated in the workplace with the addition of simulations and </w:t>
      </w:r>
      <w:r w:rsidRPr="008D2FC4">
        <w:t>scenarios where the full range of contexts and situations cannot be provided in the workplace. The following conditions must be met for this unit:</w:t>
      </w:r>
    </w:p>
    <w:p w:rsidR="00000000" w:rsidRPr="008D2FC4" w:rsidP="008D2FC4">
      <w:pPr>
        <w:pStyle w:val="ListBullet"/>
      </w:pPr>
      <w:r w:rsidRPr="008D2FC4">
        <w:t xml:space="preserve">use of suitable facilities, equipment and resources in line with the Australian Nursing and Midwifery </w:t>
      </w:r>
      <w:r w:rsidRPr="008D2FC4">
        <w:t>Accreditation Council’s Standards including:</w:t>
      </w:r>
    </w:p>
    <w:p w:rsidR="00000000" w:rsidRPr="008D2FC4" w:rsidP="008D2FC4">
      <w:pPr>
        <w:pStyle w:val="ListBullet2"/>
      </w:pPr>
      <w:r w:rsidRPr="008D2FC4">
        <w:t>splints</w:t>
      </w:r>
    </w:p>
    <w:p w:rsidR="00000000" w:rsidRPr="008D2FC4" w:rsidP="008D2FC4">
      <w:pPr>
        <w:pStyle w:val="ListBullet2"/>
      </w:pPr>
      <w:r w:rsidRPr="008D2FC4">
        <w:t>bandages for casting</w:t>
      </w:r>
    </w:p>
    <w:p w:rsidR="00000000" w:rsidRPr="008D2FC4" w:rsidP="008D2FC4">
      <w:pPr>
        <w:pStyle w:val="ListBullet2"/>
      </w:pPr>
      <w:r w:rsidRPr="008D2FC4">
        <w:t>prosthetics</w:t>
      </w:r>
    </w:p>
    <w:p w:rsidR="00000000" w:rsidRPr="008D2FC4" w:rsidP="008D2FC4">
      <w:pPr>
        <w:pStyle w:val="ListBullet2"/>
      </w:pPr>
      <w:r w:rsidRPr="008D2FC4">
        <w:t xml:space="preserve">progressive notes of a de-identified person’s medical history </w:t>
      </w:r>
    </w:p>
    <w:p w:rsidR="00000000" w:rsidRPr="008D2FC4" w:rsidP="008D2FC4">
      <w:pPr>
        <w:pStyle w:val="ListBullet2"/>
      </w:pPr>
      <w:r w:rsidRPr="008D2FC4">
        <w:t>organisation policy and procedures on which the candidate bases the planning</w:t>
      </w:r>
    </w:p>
    <w:p w:rsidR="00000000" w:rsidRPr="008D2FC4" w:rsidP="008D2FC4">
      <w:pPr>
        <w:pStyle w:val="ListBullet"/>
      </w:pPr>
      <w:r w:rsidRPr="008D2FC4">
        <w:t>modelling of industry operat</w:t>
      </w:r>
      <w:r w:rsidRPr="008D2FC4">
        <w:t>ing conditions including access to real people for simulations and scenarios in enrolled nursing work.</w:t>
      </w:r>
    </w:p>
    <w:p w:rsidR="00000000" w:rsidRPr="008D2FC4" w:rsidP="00804912">
      <w:pPr>
        <w:pStyle w:val="BodyText"/>
      </w:pPr>
      <w:r w:rsidRPr="008D2FC4">
        <w:t>Assessors must satisfy the Standards for Registered Training Organisations (RTOs) 2015/AQTF mandatory competency requirements for assessors.</w:t>
      </w:r>
      <w:r w:rsidRPr="008D2FC4">
        <w:rPr>
          <w:rStyle w:val="SpecialBold"/>
        </w:rPr>
        <w:tab/>
      </w:r>
    </w:p>
    <w:p w:rsidR="00000000" w:rsidRPr="008D2FC4" w:rsidP="00804912">
      <w:pPr>
        <w:pStyle w:val="BodyText"/>
      </w:pPr>
      <w:r w:rsidRPr="008D2FC4">
        <w:t>In additio</w:t>
      </w:r>
      <w:r w:rsidRPr="008D2FC4">
        <w:t xml:space="preserve">n, assessors must hold current registration as a Registered Nurse with Nursing and Midwifery Board of Australia. </w:t>
      </w:r>
    </w:p>
    <w:p w:rsidR="00000000" w:rsidRPr="008D2FC4" w:rsidP="008D2FC4">
      <w:pPr>
        <w:pStyle w:val="Heading1"/>
      </w:pPr>
      <w:bookmarkStart w:id="11" w:name="O_820849"/>
      <w:bookmarkEnd w:id="11"/>
      <w:r w:rsidRPr="008D2FC4">
        <w:t>Links</w:t>
      </w:r>
    </w:p>
    <w:p w:rsidR="00000000" w:rsidRPr="008D2FC4" w:rsidP="00804912">
      <w:pPr>
        <w:pStyle w:val="BodyText"/>
      </w:pPr>
      <w:r w:rsidRPr="008D2F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3AA4">
        <w:rPr>
          <w:rStyle w:val="Hyperlink"/>
        </w:rPr>
        <w:t>https://vetnet.gov.au/Pages/TrainingDocs.aspx?q=ced1390f-48d9-4ab0-bd50-b015e5485705</w:t>
      </w:r>
      <w:r>
        <w:fldChar w:fldCharType="end"/>
      </w:r>
    </w:p>
    <w:p w:rsidR="00000000" w:rsidRPr="008D2FC4" w:rsidP="008D2FC4"/>
    <w:sectPr w:rsidSect="008D2F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rsidRPr="00804912" w:rsidP="00804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12" w:rsidP="008D2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912" w:rsidP="008D2F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04912" w:rsidP="008D2F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rsidP="008D2FC4">
    <w:pPr>
      <w:pStyle w:val="Footer"/>
      <w:framePr w:wrap="around"/>
    </w:pPr>
    <w:r>
      <w:fldChar w:fldCharType="begin"/>
    </w:r>
    <w:r>
      <w:instrText xml:space="preserve"> DOCPROPERTY  Subject  \* MERGEFORMAT </w:instrText>
    </w:r>
    <w:r>
      <w:fldChar w:fldCharType="separate"/>
    </w:r>
    <w:r w:rsidR="00804912">
      <w:t>Approved</w:t>
    </w:r>
    <w:r w:rsidR="00804912">
      <w:fldChar w:fldCharType="end"/>
    </w:r>
    <w:r>
      <w:tab/>
      <w:t xml:space="preserve">Page </w:t>
    </w:r>
    <w:r>
      <w:fldChar w:fldCharType="begin"/>
    </w:r>
    <w:r>
      <w:instrText xml:space="preserve"> PAGE  \* Arabic  \* MERGEFORMAT </w:instrText>
    </w:r>
    <w:r>
      <w:fldChar w:fldCharType="separate"/>
    </w:r>
    <w:r w:rsidR="008049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912">
      <w:rPr>
        <w:noProof/>
      </w:rPr>
      <w:t>5</w:t>
    </w:r>
    <w:r>
      <w:rPr>
        <w:noProof/>
      </w:rPr>
      <w:fldChar w:fldCharType="end"/>
    </w:r>
  </w:p>
  <w:p w:rsidR="008D2FC4" w:rsidP="008D2FC4">
    <w:pPr>
      <w:pStyle w:val="Footer"/>
      <w:framePr w:wrap="around"/>
    </w:pPr>
    <w:r>
      <w:t xml:space="preserve">© Commonwealth of Australia, </w:t>
    </w:r>
    <w:r>
      <w:fldChar w:fldCharType="begin"/>
    </w:r>
    <w:r>
      <w:instrText xml:space="preserve"> DATE  \@ "yyyy"  \* MERGEFORMAT </w:instrText>
    </w:r>
    <w:r>
      <w:fldChar w:fldCharType="separate"/>
    </w:r>
    <w:r w:rsidR="00804912">
      <w:rPr>
        <w:noProof/>
      </w:rPr>
      <w:t>2025</w:t>
    </w:r>
    <w:r>
      <w:fldChar w:fldCharType="end"/>
    </w:r>
    <w:r>
      <w:tab/>
    </w:r>
    <w:r>
      <w:fldChar w:fldCharType="begin"/>
    </w:r>
    <w:r>
      <w:instrText xml:space="preserve"> DOCPROPERTY  Author  \* MERGEFORMAT </w:instrText>
    </w:r>
    <w:r>
      <w:fldChar w:fldCharType="separate"/>
    </w:r>
    <w:r w:rsidR="00804912">
      <w:t>HumanAbility</w:t>
    </w:r>
    <w:r w:rsidR="00804912">
      <w:fldChar w:fldCharType="end"/>
    </w:r>
  </w:p>
  <w:p w:rsidR="008D2FC4" w:rsidP="008D2F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FC4" w:rsidRPr="00804912" w:rsidP="00804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12" w:rsidRPr="002D2AF8" w:rsidP="008D2FC4">
    <w:pPr>
      <w:pStyle w:val="Header"/>
      <w:framePr w:wrap="around"/>
    </w:pPr>
    <w:r>
      <w:fldChar w:fldCharType="begin"/>
    </w:r>
    <w:r>
      <w:instrText xml:space="preserve"> TITLE   \* MERGEFORMAT </w:instrText>
    </w:r>
    <w:r>
      <w:fldChar w:fldCharType="separate"/>
    </w:r>
    <w:r>
      <w:t>HLTENN017 Apply nursing practice in the orthopaedic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4912" w:rsidP="008D2F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C4" w:rsidRPr="002D2AF8" w:rsidP="008D2FC4">
    <w:pPr>
      <w:pStyle w:val="Header"/>
      <w:framePr w:wrap="around"/>
    </w:pPr>
    <w:r>
      <w:fldChar w:fldCharType="begin"/>
    </w:r>
    <w:r>
      <w:instrText xml:space="preserve"> TITLE   \* MERGEFORMAT </w:instrText>
    </w:r>
    <w:r>
      <w:fldChar w:fldCharType="separate"/>
    </w:r>
    <w:r w:rsidR="00804912">
      <w:t>HLTENN017 Apply nursing practice in the orthopaedic care setting</w:t>
    </w:r>
    <w:r w:rsidR="00804912">
      <w:fldChar w:fldCharType="end"/>
    </w:r>
    <w:r>
      <w:tab/>
      <w:t xml:space="preserve">Date this document was generated: </w:t>
    </w:r>
    <w:r>
      <w:fldChar w:fldCharType="begin"/>
    </w:r>
    <w:r>
      <w:instrText xml:space="preserve"> CREATEDATE  \@ "d MMMM yyyy"  \* MERGEFORMAT </w:instrText>
    </w:r>
    <w:r>
      <w:fldChar w:fldCharType="separate"/>
    </w:r>
    <w:r w:rsidR="00804912">
      <w:rPr>
        <w:noProof/>
      </w:rPr>
      <w:t>1 March 2025</w:t>
    </w:r>
    <w:r>
      <w:fldChar w:fldCharType="end"/>
    </w:r>
  </w:p>
  <w:p w:rsidR="008D2FC4" w:rsidP="008D2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42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26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0D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FC4"/>
    <w:pPr>
      <w:spacing w:before="360" w:after="60"/>
      <w:outlineLvl w:val="0"/>
    </w:pPr>
    <w:rPr>
      <w:sz w:val="32"/>
    </w:rPr>
  </w:style>
  <w:style w:type="paragraph" w:styleId="Heading2">
    <w:name w:val="heading 2"/>
    <w:basedOn w:val="HeadingBase"/>
    <w:next w:val="BodyText"/>
    <w:link w:val="Heading2Char"/>
    <w:qFormat/>
    <w:rsid w:val="008D2FC4"/>
    <w:pPr>
      <w:keepLines/>
      <w:spacing w:before="240" w:after="120"/>
      <w:outlineLvl w:val="1"/>
    </w:pPr>
    <w:rPr>
      <w:sz w:val="28"/>
      <w:szCs w:val="40"/>
    </w:rPr>
  </w:style>
  <w:style w:type="paragraph" w:styleId="Heading3">
    <w:name w:val="heading 3"/>
    <w:basedOn w:val="HeadingBase"/>
    <w:next w:val="BodyText"/>
    <w:link w:val="Heading3Char"/>
    <w:qFormat/>
    <w:rsid w:val="008D2FC4"/>
    <w:pPr>
      <w:spacing w:before="180" w:after="120"/>
      <w:outlineLvl w:val="2"/>
    </w:pPr>
    <w:rPr>
      <w:spacing w:val="-10"/>
      <w:kern w:val="32"/>
    </w:rPr>
  </w:style>
  <w:style w:type="paragraph" w:styleId="Heading4">
    <w:name w:val="heading 4"/>
    <w:basedOn w:val="HeadingBase"/>
    <w:next w:val="BodyText"/>
    <w:link w:val="Heading4Char"/>
    <w:qFormat/>
    <w:rsid w:val="008D2FC4"/>
    <w:pPr>
      <w:spacing w:before="160" w:after="120"/>
      <w:outlineLvl w:val="3"/>
    </w:pPr>
    <w:rPr>
      <w:sz w:val="22"/>
    </w:rPr>
  </w:style>
  <w:style w:type="paragraph" w:styleId="Heading5">
    <w:name w:val="heading 5"/>
    <w:basedOn w:val="HeadingBase"/>
    <w:next w:val="Normal"/>
    <w:link w:val="Heading5Char"/>
    <w:qFormat/>
    <w:rsid w:val="008D2FC4"/>
    <w:pPr>
      <w:spacing w:before="80"/>
      <w:outlineLvl w:val="4"/>
    </w:pPr>
    <w:rPr>
      <w:color w:val="918585"/>
      <w:sz w:val="20"/>
    </w:rPr>
  </w:style>
  <w:style w:type="paragraph" w:styleId="Heading6">
    <w:name w:val="heading 6"/>
    <w:basedOn w:val="HeadingBase"/>
    <w:next w:val="Normal"/>
    <w:link w:val="Heading6Char"/>
    <w:qFormat/>
    <w:rsid w:val="008D2FC4"/>
    <w:pPr>
      <w:spacing w:before="60"/>
      <w:outlineLvl w:val="5"/>
    </w:pPr>
    <w:rPr>
      <w:color w:val="918585"/>
      <w:sz w:val="20"/>
    </w:rPr>
  </w:style>
  <w:style w:type="paragraph" w:styleId="Heading7">
    <w:name w:val="heading 7"/>
    <w:basedOn w:val="Normal"/>
    <w:next w:val="Normal"/>
    <w:link w:val="Heading7Char"/>
    <w:qFormat/>
    <w:rsid w:val="008D2FC4"/>
    <w:pPr>
      <w:ind w:left="720"/>
      <w:outlineLvl w:val="6"/>
    </w:pPr>
    <w:rPr>
      <w:i/>
    </w:rPr>
  </w:style>
  <w:style w:type="paragraph" w:styleId="Heading8">
    <w:name w:val="heading 8"/>
    <w:basedOn w:val="Normal"/>
    <w:next w:val="Normal"/>
    <w:link w:val="Heading8Char"/>
    <w:qFormat/>
    <w:rsid w:val="008D2FC4"/>
    <w:pPr>
      <w:ind w:left="720"/>
      <w:outlineLvl w:val="7"/>
    </w:pPr>
    <w:rPr>
      <w:i/>
    </w:rPr>
  </w:style>
  <w:style w:type="paragraph" w:styleId="Heading9">
    <w:name w:val="heading 9"/>
    <w:basedOn w:val="Normal"/>
    <w:next w:val="Normal"/>
    <w:link w:val="Heading9Char"/>
    <w:qFormat/>
    <w:rsid w:val="008D2FC4"/>
    <w:pPr>
      <w:ind w:left="720"/>
      <w:outlineLvl w:val="8"/>
    </w:pPr>
    <w:rPr>
      <w:i/>
    </w:rPr>
  </w:style>
  <w:style w:type="character" w:default="1" w:styleId="DefaultParagraphFont">
    <w:name w:val="Default Paragraph Font"/>
    <w:uiPriority w:val="1"/>
    <w:unhideWhenUsed/>
    <w:rsid w:val="008D2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FC4"/>
  </w:style>
  <w:style w:type="character" w:customStyle="1" w:styleId="Heading1Char">
    <w:name w:val="Heading 1 Char"/>
    <w:basedOn w:val="DefaultParagraphFont"/>
    <w:link w:val="Heading1"/>
    <w:rsid w:val="008D2FC4"/>
    <w:rPr>
      <w:rFonts w:ascii="Times New Roman" w:eastAsia="Times New Roman" w:hAnsi="Times New Roman" w:cs="Times New Roman"/>
      <w:b/>
      <w:sz w:val="32"/>
      <w:szCs w:val="20"/>
      <w:lang w:eastAsia="en-US"/>
    </w:rPr>
  </w:style>
  <w:style w:type="paragraph" w:styleId="BodyText">
    <w:name w:val="Body Text"/>
    <w:basedOn w:val="Normal"/>
    <w:link w:val="BodyTextChar"/>
    <w:rsid w:val="008D2F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FC4"/>
    <w:rPr>
      <w:rFonts w:ascii="Times New Roman" w:eastAsia="Times New Roman" w:hAnsi="Times New Roman" w:cs="Times New Roman"/>
      <w:sz w:val="24"/>
      <w:lang w:eastAsia="en-US"/>
    </w:rPr>
  </w:style>
  <w:style w:type="paragraph" w:styleId="ListBullet">
    <w:name w:val="List Bullet"/>
    <w:basedOn w:val="List"/>
    <w:rsid w:val="008D2FC4"/>
    <w:pPr>
      <w:numPr>
        <w:numId w:val="13"/>
      </w:numPr>
      <w:tabs>
        <w:tab w:val="clear" w:pos="340"/>
      </w:tabs>
      <w:spacing w:before="40" w:after="40"/>
    </w:pPr>
  </w:style>
  <w:style w:type="character" w:customStyle="1" w:styleId="SpecialBold">
    <w:name w:val="Special Bold"/>
    <w:basedOn w:val="DefaultParagraphFont"/>
    <w:rsid w:val="008D2FC4"/>
    <w:rPr>
      <w:b/>
      <w:spacing w:val="0"/>
    </w:rPr>
  </w:style>
  <w:style w:type="paragraph" w:styleId="ListBullet2">
    <w:name w:val="List Bullet 2"/>
    <w:basedOn w:val="List2"/>
    <w:rsid w:val="008D2FC4"/>
    <w:pPr>
      <w:numPr>
        <w:numId w:val="14"/>
      </w:numPr>
      <w:tabs>
        <w:tab w:val="clear" w:pos="680"/>
      </w:tabs>
    </w:pPr>
  </w:style>
  <w:style w:type="character" w:styleId="Emphasis">
    <w:name w:val="Emphasis"/>
    <w:basedOn w:val="DefaultParagraphFont"/>
    <w:qFormat/>
    <w:rsid w:val="008D2FC4"/>
    <w:rPr>
      <w:i/>
    </w:rPr>
  </w:style>
  <w:style w:type="paragraph" w:customStyle="1" w:styleId="SuperHeading">
    <w:name w:val="SuperHeading"/>
    <w:basedOn w:val="Normal"/>
    <w:rsid w:val="008D2FC4"/>
    <w:pPr>
      <w:spacing w:before="240" w:after="120"/>
      <w:outlineLvl w:val="0"/>
    </w:pPr>
    <w:rPr>
      <w:rFonts w:ascii="Times New Roman" w:hAnsi="Times New Roman"/>
      <w:b/>
      <w:sz w:val="32"/>
    </w:rPr>
  </w:style>
  <w:style w:type="paragraph" w:customStyle="1" w:styleId="AllowPageBreak">
    <w:name w:val="AllowPageBreak"/>
    <w:rsid w:val="008D2F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2FC4"/>
    <w:pPr>
      <w:numPr>
        <w:numId w:val="3"/>
      </w:numPr>
      <w:tabs>
        <w:tab w:val="clear" w:pos="1021"/>
      </w:tabs>
      <w:ind w:left="1037" w:hanging="357"/>
    </w:pPr>
  </w:style>
  <w:style w:type="character" w:customStyle="1" w:styleId="Heading2Char">
    <w:name w:val="Heading 2 Char"/>
    <w:basedOn w:val="DefaultParagraphFont"/>
    <w:link w:val="Heading2"/>
    <w:rsid w:val="008D2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FC4"/>
    <w:rPr>
      <w:rFonts w:ascii="Courier New" w:eastAsia="Times New Roman" w:hAnsi="Courier New" w:cs="Times New Roman"/>
      <w:i/>
      <w:szCs w:val="20"/>
      <w:lang w:eastAsia="en-US"/>
    </w:rPr>
  </w:style>
  <w:style w:type="paragraph" w:customStyle="1" w:styleId="HeadingBase">
    <w:name w:val="Heading Base"/>
    <w:rsid w:val="008D2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FC4"/>
    <w:pPr>
      <w:tabs>
        <w:tab w:val="right" w:leader="dot" w:pos="9072"/>
      </w:tabs>
      <w:ind w:left="567"/>
    </w:pPr>
    <w:rPr>
      <w:szCs w:val="22"/>
    </w:rPr>
  </w:style>
  <w:style w:type="paragraph" w:customStyle="1" w:styleId="TOCBase">
    <w:name w:val="TOC Base"/>
    <w:rsid w:val="008D2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FC4"/>
    <w:pPr>
      <w:tabs>
        <w:tab w:val="right" w:leader="dot" w:pos="9072"/>
      </w:tabs>
      <w:spacing w:before="40" w:after="40"/>
      <w:ind w:left="284"/>
    </w:pPr>
    <w:rPr>
      <w:rFonts w:ascii="Times New Roman" w:hAnsi="Times New Roman"/>
    </w:rPr>
  </w:style>
  <w:style w:type="paragraph" w:styleId="TOC1">
    <w:name w:val="toc 1"/>
    <w:basedOn w:val="TOCBase"/>
    <w:next w:val="Normal"/>
    <w:rsid w:val="008D2F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FC4"/>
    <w:rPr>
      <w:rFonts w:ascii="Times New Roman" w:eastAsia="Times New Roman" w:hAnsi="Times New Roman" w:cs="Times New Roman"/>
      <w:sz w:val="16"/>
      <w:lang w:eastAsia="en-US"/>
    </w:rPr>
  </w:style>
  <w:style w:type="paragraph" w:styleId="Title">
    <w:name w:val="Title"/>
    <w:basedOn w:val="HeadingBase"/>
    <w:link w:val="TitleChar"/>
    <w:qFormat/>
    <w:rsid w:val="008D2FC4"/>
    <w:pPr>
      <w:spacing w:before="5040"/>
      <w:jc w:val="center"/>
    </w:pPr>
    <w:rPr>
      <w:sz w:val="48"/>
      <w:szCs w:val="72"/>
      <w:lang w:val="en-US"/>
    </w:rPr>
  </w:style>
  <w:style w:type="character" w:customStyle="1" w:styleId="TitleChar">
    <w:name w:val="Title Char"/>
    <w:basedOn w:val="DefaultParagraphFont"/>
    <w:link w:val="Title"/>
    <w:rsid w:val="008D2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FC4"/>
    <w:pPr>
      <w:tabs>
        <w:tab w:val="left" w:pos="3600"/>
        <w:tab w:val="left" w:pos="3958"/>
      </w:tabs>
    </w:pPr>
  </w:style>
  <w:style w:type="paragraph" w:styleId="List">
    <w:name w:val="List"/>
    <w:basedOn w:val="BodyText"/>
    <w:next w:val="BodyText"/>
    <w:rsid w:val="008D2FC4"/>
    <w:pPr>
      <w:tabs>
        <w:tab w:val="left" w:pos="340"/>
      </w:tabs>
      <w:spacing w:before="60" w:after="60"/>
      <w:ind w:left="340" w:hanging="340"/>
    </w:pPr>
  </w:style>
  <w:style w:type="paragraph" w:customStyle="1" w:styleId="Note">
    <w:name w:val="Note"/>
    <w:basedOn w:val="BodyText"/>
    <w:rsid w:val="008D2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FC4"/>
    <w:pPr>
      <w:framePr w:wrap="auto" w:hAnchor="text" w:y="6049"/>
    </w:pPr>
    <w:rPr>
      <w:color w:val="000000"/>
      <w:sz w:val="40"/>
    </w:rPr>
  </w:style>
  <w:style w:type="paragraph" w:customStyle="1" w:styleId="TOCTitle">
    <w:name w:val="TOCTitle"/>
    <w:basedOn w:val="Heading1"/>
    <w:rsid w:val="008D2FC4"/>
    <w:pPr>
      <w:spacing w:after="240"/>
      <w:jc w:val="center"/>
      <w:outlineLvl w:val="9"/>
    </w:pPr>
    <w:rPr>
      <w:caps/>
    </w:rPr>
  </w:style>
  <w:style w:type="paragraph" w:customStyle="1" w:styleId="Version">
    <w:name w:val="Version"/>
    <w:rsid w:val="008D2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FC4"/>
    <w:pPr>
      <w:keepNext w:val="0"/>
      <w:tabs>
        <w:tab w:val="right" w:pos="4176"/>
      </w:tabs>
      <w:ind w:left="198" w:hanging="198"/>
    </w:pPr>
    <w:rPr>
      <w:rFonts w:ascii="Garamond" w:hAnsi="Garamond"/>
    </w:rPr>
  </w:style>
  <w:style w:type="paragraph" w:styleId="IndexHeading">
    <w:name w:val="index heading"/>
    <w:basedOn w:val="Normal"/>
    <w:next w:val="Index1"/>
    <w:semiHidden/>
    <w:rsid w:val="008D2FC4"/>
    <w:pPr>
      <w:spacing w:before="120" w:after="120"/>
    </w:pPr>
    <w:rPr>
      <w:rFonts w:ascii="Arial" w:hAnsi="Arial"/>
      <w:b/>
      <w:color w:val="918585"/>
      <w:sz w:val="24"/>
    </w:rPr>
  </w:style>
  <w:style w:type="paragraph" w:styleId="Header">
    <w:name w:val="header"/>
    <w:basedOn w:val="Normal"/>
    <w:link w:val="HeaderChar"/>
    <w:rsid w:val="008D2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FC4"/>
    <w:rPr>
      <w:rFonts w:ascii="Times New Roman" w:eastAsia="Times New Roman" w:hAnsi="Times New Roman" w:cs="Times New Roman"/>
      <w:sz w:val="16"/>
      <w:szCs w:val="20"/>
      <w:lang w:val="en-GB" w:eastAsia="en-US"/>
    </w:rPr>
  </w:style>
  <w:style w:type="paragraph" w:customStyle="1" w:styleId="Chapter">
    <w:name w:val="Chapter"/>
    <w:basedOn w:val="Normal"/>
    <w:rsid w:val="008D2FC4"/>
    <w:pPr>
      <w:spacing w:before="240"/>
    </w:pPr>
    <w:rPr>
      <w:rFonts w:ascii="Times New Roman" w:hAnsi="Times New Roman"/>
      <w:smallCaps/>
      <w:spacing w:val="80"/>
      <w:sz w:val="28"/>
    </w:rPr>
  </w:style>
  <w:style w:type="paragraph" w:customStyle="1" w:styleId="InChapter">
    <w:name w:val="InChapter"/>
    <w:basedOn w:val="Heading3"/>
    <w:rsid w:val="008D2FC4"/>
    <w:pPr>
      <w:spacing w:after="240"/>
      <w:outlineLvl w:val="9"/>
    </w:pPr>
    <w:rPr>
      <w:noProof/>
    </w:rPr>
  </w:style>
  <w:style w:type="paragraph" w:styleId="Index2">
    <w:name w:val="index 2"/>
    <w:basedOn w:val="Normal"/>
    <w:next w:val="Normal"/>
    <w:semiHidden/>
    <w:rsid w:val="008D2FC4"/>
    <w:pPr>
      <w:tabs>
        <w:tab w:val="right" w:pos="4176"/>
      </w:tabs>
      <w:ind w:left="568" w:hanging="284"/>
    </w:pPr>
    <w:rPr>
      <w:rFonts w:ascii="Garamond" w:hAnsi="Garamond"/>
    </w:rPr>
  </w:style>
  <w:style w:type="paragraph" w:customStyle="1" w:styleId="Byline">
    <w:name w:val="Byline"/>
    <w:rsid w:val="008D2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FC4"/>
    <w:pPr>
      <w:tabs>
        <w:tab w:val="clear" w:pos="3600"/>
        <w:tab w:val="clear" w:pos="3958"/>
      </w:tabs>
      <w:jc w:val="right"/>
    </w:pPr>
  </w:style>
  <w:style w:type="paragraph" w:styleId="Caption">
    <w:name w:val="caption"/>
    <w:basedOn w:val="BodyText"/>
    <w:next w:val="Normal"/>
    <w:qFormat/>
    <w:rsid w:val="008D2FC4"/>
    <w:pPr>
      <w:framePr w:w="2268" w:hSpace="181" w:vSpace="181" w:wrap="around" w:vAnchor="text" w:hAnchor="page" w:x="1135" w:y="285" w:anchorLock="1"/>
    </w:pPr>
    <w:rPr>
      <w:i/>
    </w:rPr>
  </w:style>
  <w:style w:type="paragraph" w:customStyle="1" w:styleId="MiniTOCTitle">
    <w:name w:val="MiniTOCTitle"/>
    <w:basedOn w:val="Heading4"/>
    <w:rsid w:val="008D2FC4"/>
    <w:pPr>
      <w:spacing w:before="240"/>
      <w:outlineLvl w:val="9"/>
    </w:pPr>
    <w:rPr>
      <w:noProof/>
      <w:sz w:val="24"/>
    </w:rPr>
  </w:style>
  <w:style w:type="paragraph" w:customStyle="1" w:styleId="MiniTOCItem">
    <w:name w:val="MiniTOCItem"/>
    <w:basedOn w:val="ListBullet"/>
    <w:rsid w:val="008D2FC4"/>
    <w:pPr>
      <w:numPr>
        <w:numId w:val="0"/>
      </w:numPr>
      <w:tabs>
        <w:tab w:val="right" w:leader="dot" w:pos="6521"/>
      </w:tabs>
      <w:spacing w:before="0" w:after="0"/>
    </w:pPr>
  </w:style>
  <w:style w:type="paragraph" w:customStyle="1" w:styleId="TOFTitle">
    <w:name w:val="TOFTitle"/>
    <w:basedOn w:val="TOCTitle"/>
    <w:rsid w:val="008D2FC4"/>
  </w:style>
  <w:style w:type="paragraph" w:styleId="TableofFigures">
    <w:name w:val="table of figures"/>
    <w:basedOn w:val="Normal"/>
    <w:next w:val="Normal"/>
    <w:semiHidden/>
    <w:rsid w:val="008D2FC4"/>
    <w:pPr>
      <w:tabs>
        <w:tab w:val="right" w:leader="dot" w:pos="9072"/>
      </w:tabs>
      <w:ind w:left="970" w:hanging="403"/>
    </w:pPr>
    <w:rPr>
      <w:rFonts w:ascii="Times New Roman" w:hAnsi="Times New Roman"/>
      <w:b/>
    </w:rPr>
  </w:style>
  <w:style w:type="paragraph" w:styleId="ListNumber">
    <w:name w:val="List Number"/>
    <w:basedOn w:val="List"/>
    <w:rsid w:val="008D2FC4"/>
    <w:pPr>
      <w:numPr>
        <w:numId w:val="16"/>
      </w:numPr>
      <w:tabs>
        <w:tab w:val="clear" w:pos="340"/>
      </w:tabs>
    </w:pPr>
  </w:style>
  <w:style w:type="character" w:customStyle="1" w:styleId="WingdingSymbols">
    <w:name w:val="Wingding Symbols"/>
    <w:rsid w:val="008D2FC4"/>
    <w:rPr>
      <w:rFonts w:ascii="Wingdings" w:hAnsi="Wingdings"/>
    </w:rPr>
  </w:style>
  <w:style w:type="paragraph" w:customStyle="1" w:styleId="TableHeading">
    <w:name w:val="Table Heading"/>
    <w:basedOn w:val="HeadingBase"/>
    <w:rsid w:val="008D2FC4"/>
    <w:pPr>
      <w:keepLines/>
      <w:pBdr>
        <w:bottom w:val="single" w:sz="6" w:space="1" w:color="918585"/>
      </w:pBdr>
      <w:spacing w:before="240"/>
    </w:pPr>
  </w:style>
  <w:style w:type="character" w:customStyle="1" w:styleId="HotSpot">
    <w:name w:val="HotSpot"/>
    <w:rsid w:val="008D2FC4"/>
    <w:rPr>
      <w:color w:val="0033CC"/>
      <w:u w:val="none"/>
    </w:rPr>
  </w:style>
  <w:style w:type="paragraph" w:customStyle="1" w:styleId="BodyTextRight">
    <w:name w:val="Body Text Right"/>
    <w:basedOn w:val="BodyText"/>
    <w:rsid w:val="008D2FC4"/>
    <w:pPr>
      <w:spacing w:before="0" w:after="0"/>
      <w:jc w:val="right"/>
    </w:pPr>
  </w:style>
  <w:style w:type="paragraph" w:styleId="Index3">
    <w:name w:val="index 3"/>
    <w:basedOn w:val="ListNumber2"/>
    <w:next w:val="Normal"/>
    <w:semiHidden/>
    <w:rsid w:val="008D2FC4"/>
    <w:pPr>
      <w:numPr>
        <w:numId w:val="0"/>
      </w:numPr>
      <w:tabs>
        <w:tab w:val="right" w:leader="dot" w:pos="4176"/>
      </w:tabs>
    </w:pPr>
  </w:style>
  <w:style w:type="paragraph" w:styleId="ListNumber2">
    <w:name w:val="List Number 2"/>
    <w:basedOn w:val="List2"/>
    <w:rsid w:val="008D2FC4"/>
    <w:pPr>
      <w:numPr>
        <w:numId w:val="11"/>
      </w:numPr>
      <w:tabs>
        <w:tab w:val="clear" w:pos="1060"/>
      </w:tabs>
    </w:pPr>
  </w:style>
  <w:style w:type="paragraph" w:customStyle="1" w:styleId="MarginNote">
    <w:name w:val="Margin Note"/>
    <w:basedOn w:val="BodyText"/>
    <w:rsid w:val="008D2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FC4"/>
    <w:rPr>
      <w:sz w:val="32"/>
    </w:rPr>
  </w:style>
  <w:style w:type="paragraph" w:customStyle="1" w:styleId="HeadingProcedure">
    <w:name w:val="Heading Procedure"/>
    <w:basedOn w:val="HeadingBase"/>
    <w:next w:val="Normal"/>
    <w:rsid w:val="008D2FC4"/>
    <w:pPr>
      <w:tabs>
        <w:tab w:val="left" w:pos="0"/>
      </w:tabs>
      <w:spacing w:before="120" w:after="60"/>
    </w:pPr>
    <w:rPr>
      <w:i/>
      <w:color w:val="918585"/>
      <w:sz w:val="22"/>
    </w:rPr>
  </w:style>
  <w:style w:type="paragraph" w:customStyle="1" w:styleId="TableBodyText">
    <w:name w:val="Table Body Text"/>
    <w:basedOn w:val="BodyText"/>
    <w:rsid w:val="008D2FC4"/>
    <w:pPr>
      <w:spacing w:before="60" w:after="60"/>
    </w:pPr>
  </w:style>
  <w:style w:type="paragraph" w:styleId="ListContinue">
    <w:name w:val="List Continue"/>
    <w:basedOn w:val="List"/>
    <w:rsid w:val="008D2FC4"/>
    <w:pPr>
      <w:ind w:firstLine="0"/>
    </w:pPr>
  </w:style>
  <w:style w:type="paragraph" w:customStyle="1" w:styleId="ListNote">
    <w:name w:val="List Note"/>
    <w:basedOn w:val="List"/>
    <w:rsid w:val="008D2FC4"/>
    <w:pPr>
      <w:pBdr>
        <w:top w:val="single" w:sz="6" w:space="2" w:color="918585"/>
        <w:bottom w:val="single" w:sz="6" w:space="2" w:color="918585"/>
      </w:pBdr>
      <w:tabs>
        <w:tab w:val="left" w:pos="1021"/>
      </w:tabs>
      <w:ind w:firstLine="0"/>
    </w:pPr>
  </w:style>
  <w:style w:type="paragraph" w:customStyle="1" w:styleId="Warning">
    <w:name w:val="Warning"/>
    <w:basedOn w:val="BodyText"/>
    <w:rsid w:val="008D2FC4"/>
    <w:pPr>
      <w:shd w:val="clear" w:color="auto" w:fill="D9D9D9"/>
      <w:tabs>
        <w:tab w:val="left" w:pos="992"/>
      </w:tabs>
      <w:ind w:left="119" w:right="119"/>
    </w:pPr>
    <w:rPr>
      <w:sz w:val="20"/>
    </w:rPr>
  </w:style>
  <w:style w:type="paragraph" w:customStyle="1" w:styleId="MarginIcons">
    <w:name w:val="Margin Icons"/>
    <w:basedOn w:val="BodyText"/>
    <w:rsid w:val="008D2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FC4"/>
    <w:rPr>
      <w:rFonts w:ascii="Courier New" w:hAnsi="Courier New"/>
    </w:rPr>
  </w:style>
  <w:style w:type="paragraph" w:customStyle="1" w:styleId="NoteBullet">
    <w:name w:val="Note Bullet"/>
    <w:basedOn w:val="Note"/>
    <w:rsid w:val="008D2FC4"/>
    <w:pPr>
      <w:tabs>
        <w:tab w:val="clear" w:pos="680"/>
      </w:tabs>
      <w:spacing w:before="60" w:after="60"/>
    </w:pPr>
  </w:style>
  <w:style w:type="paragraph" w:customStyle="1" w:styleId="SubHeading2">
    <w:name w:val="SubHeading2"/>
    <w:basedOn w:val="HeadingBase"/>
    <w:rsid w:val="008D2FC4"/>
    <w:pPr>
      <w:spacing w:before="240" w:after="60"/>
    </w:pPr>
    <w:rPr>
      <w:sz w:val="20"/>
    </w:rPr>
  </w:style>
  <w:style w:type="paragraph" w:customStyle="1" w:styleId="SubHeading1">
    <w:name w:val="SubHeading1"/>
    <w:basedOn w:val="HeadingBase"/>
    <w:rsid w:val="008D2FC4"/>
    <w:pPr>
      <w:spacing w:before="240" w:after="60"/>
    </w:pPr>
    <w:rPr>
      <w:color w:val="918585"/>
      <w:sz w:val="22"/>
    </w:rPr>
  </w:style>
  <w:style w:type="paragraph" w:customStyle="1" w:styleId="SideHeading">
    <w:name w:val="Side Heading"/>
    <w:basedOn w:val="HeadingBase"/>
    <w:rsid w:val="008D2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FC4"/>
    <w:pPr>
      <w:numPr>
        <w:numId w:val="12"/>
      </w:numPr>
    </w:pPr>
  </w:style>
  <w:style w:type="paragraph" w:styleId="PlainText">
    <w:name w:val="Plain Text"/>
    <w:basedOn w:val="Normal"/>
    <w:link w:val="PlainTextChar"/>
    <w:rsid w:val="008D2FC4"/>
    <w:rPr>
      <w:sz w:val="20"/>
    </w:rPr>
  </w:style>
  <w:style w:type="character" w:customStyle="1" w:styleId="PlainTextChar">
    <w:name w:val="Plain Text Char"/>
    <w:basedOn w:val="DefaultParagraphFont"/>
    <w:link w:val="PlainText"/>
    <w:rsid w:val="008D2FC4"/>
    <w:rPr>
      <w:rFonts w:ascii="Courier New" w:eastAsia="Times New Roman" w:hAnsi="Courier New" w:cs="Times New Roman"/>
      <w:sz w:val="20"/>
      <w:szCs w:val="20"/>
      <w:lang w:eastAsia="en-US"/>
    </w:rPr>
  </w:style>
  <w:style w:type="character" w:customStyle="1" w:styleId="MenuOption">
    <w:name w:val="Menu Option"/>
    <w:basedOn w:val="DefaultParagraphFont"/>
    <w:rsid w:val="008D2FC4"/>
    <w:rPr>
      <w:b/>
      <w:smallCaps/>
    </w:rPr>
  </w:style>
  <w:style w:type="paragraph" w:customStyle="1" w:styleId="TableListNumber">
    <w:name w:val="Table List Number"/>
    <w:basedOn w:val="ListNumber"/>
    <w:rsid w:val="008D2FC4"/>
    <w:pPr>
      <w:numPr>
        <w:numId w:val="0"/>
      </w:numPr>
    </w:pPr>
  </w:style>
  <w:style w:type="paragraph" w:styleId="TOC4">
    <w:name w:val="toc 4"/>
    <w:basedOn w:val="TOCBase"/>
    <w:next w:val="Normal"/>
    <w:semiHidden/>
    <w:rsid w:val="008D2FC4"/>
    <w:pPr>
      <w:tabs>
        <w:tab w:val="right" w:leader="dot" w:pos="9071"/>
      </w:tabs>
      <w:ind w:left="1701"/>
    </w:pPr>
  </w:style>
  <w:style w:type="paragraph" w:customStyle="1" w:styleId="ListAlpha">
    <w:name w:val="List Alpha"/>
    <w:basedOn w:val="List"/>
    <w:rsid w:val="008D2FC4"/>
    <w:pPr>
      <w:numPr>
        <w:numId w:val="10"/>
      </w:numPr>
    </w:pPr>
  </w:style>
  <w:style w:type="paragraph" w:customStyle="1" w:styleId="ListAlpha2">
    <w:name w:val="List Alpha 2"/>
    <w:basedOn w:val="List2"/>
    <w:rsid w:val="008D2FC4"/>
    <w:pPr>
      <w:numPr>
        <w:numId w:val="9"/>
      </w:numPr>
    </w:pPr>
  </w:style>
  <w:style w:type="paragraph" w:styleId="List2">
    <w:name w:val="List 2"/>
    <w:basedOn w:val="BodyText"/>
    <w:rsid w:val="008D2FC4"/>
    <w:pPr>
      <w:tabs>
        <w:tab w:val="left" w:pos="680"/>
      </w:tabs>
      <w:spacing w:before="60" w:after="60"/>
      <w:ind w:left="680" w:hanging="340"/>
    </w:pPr>
  </w:style>
  <w:style w:type="paragraph" w:styleId="List3">
    <w:name w:val="List 3"/>
    <w:basedOn w:val="BodyText"/>
    <w:rsid w:val="008D2FC4"/>
    <w:pPr>
      <w:tabs>
        <w:tab w:val="left" w:pos="1021"/>
      </w:tabs>
      <w:spacing w:before="60" w:after="60"/>
      <w:ind w:left="1020" w:hanging="340"/>
    </w:pPr>
  </w:style>
  <w:style w:type="paragraph" w:styleId="List4">
    <w:name w:val="List 4"/>
    <w:basedOn w:val="BodyText"/>
    <w:rsid w:val="008D2FC4"/>
    <w:pPr>
      <w:tabs>
        <w:tab w:val="left" w:pos="1361"/>
      </w:tabs>
      <w:spacing w:before="60" w:after="60"/>
      <w:ind w:left="1361" w:hanging="340"/>
    </w:pPr>
  </w:style>
  <w:style w:type="paragraph" w:styleId="List5">
    <w:name w:val="List 5"/>
    <w:basedOn w:val="BodyText"/>
    <w:rsid w:val="008D2FC4"/>
    <w:pPr>
      <w:tabs>
        <w:tab w:val="left" w:pos="1701"/>
      </w:tabs>
      <w:spacing w:before="60" w:after="60"/>
      <w:ind w:left="1701" w:hanging="340"/>
    </w:pPr>
  </w:style>
  <w:style w:type="paragraph" w:styleId="ListBullet4">
    <w:name w:val="List Bullet 4"/>
    <w:basedOn w:val="List4"/>
    <w:rsid w:val="008D2FC4"/>
    <w:pPr>
      <w:numPr>
        <w:numId w:val="4"/>
      </w:numPr>
      <w:tabs>
        <w:tab w:val="clear" w:pos="1361"/>
      </w:tabs>
    </w:pPr>
  </w:style>
  <w:style w:type="paragraph" w:styleId="ListBullet5">
    <w:name w:val="List Bullet 5"/>
    <w:basedOn w:val="List5"/>
    <w:rsid w:val="008D2FC4"/>
    <w:pPr>
      <w:numPr>
        <w:numId w:val="5"/>
      </w:numPr>
    </w:pPr>
  </w:style>
  <w:style w:type="paragraph" w:styleId="ListContinue2">
    <w:name w:val="List Continue 2"/>
    <w:basedOn w:val="List2"/>
    <w:rsid w:val="008D2FC4"/>
    <w:pPr>
      <w:ind w:firstLine="0"/>
    </w:pPr>
  </w:style>
  <w:style w:type="paragraph" w:styleId="ListContinue3">
    <w:name w:val="List Continue 3"/>
    <w:basedOn w:val="List3"/>
    <w:rsid w:val="008D2FC4"/>
    <w:pPr>
      <w:ind w:left="1021" w:firstLine="0"/>
    </w:pPr>
  </w:style>
  <w:style w:type="paragraph" w:styleId="ListContinue4">
    <w:name w:val="List Continue 4"/>
    <w:basedOn w:val="List4"/>
    <w:rsid w:val="008D2FC4"/>
    <w:pPr>
      <w:ind w:firstLine="0"/>
    </w:pPr>
  </w:style>
  <w:style w:type="paragraph" w:styleId="ListContinue5">
    <w:name w:val="List Continue 5"/>
    <w:basedOn w:val="List5"/>
    <w:rsid w:val="008D2FC4"/>
    <w:pPr>
      <w:ind w:firstLine="0"/>
    </w:pPr>
  </w:style>
  <w:style w:type="paragraph" w:styleId="ListNumber3">
    <w:name w:val="List Number 3"/>
    <w:basedOn w:val="List3"/>
    <w:rsid w:val="008D2FC4"/>
    <w:pPr>
      <w:numPr>
        <w:numId w:val="6"/>
      </w:numPr>
    </w:pPr>
  </w:style>
  <w:style w:type="paragraph" w:styleId="ListNumber4">
    <w:name w:val="List Number 4"/>
    <w:basedOn w:val="List4"/>
    <w:rsid w:val="008D2FC4"/>
    <w:pPr>
      <w:numPr>
        <w:numId w:val="7"/>
      </w:numPr>
    </w:pPr>
  </w:style>
  <w:style w:type="paragraph" w:styleId="ListNumber5">
    <w:name w:val="List Number 5"/>
    <w:basedOn w:val="List5"/>
    <w:rsid w:val="008D2FC4"/>
    <w:pPr>
      <w:numPr>
        <w:numId w:val="8"/>
      </w:numPr>
    </w:pPr>
  </w:style>
  <w:style w:type="paragraph" w:styleId="BlockText">
    <w:name w:val="Block Text"/>
    <w:basedOn w:val="Normal"/>
    <w:rsid w:val="008D2FC4"/>
    <w:pPr>
      <w:spacing w:after="120"/>
      <w:ind w:left="1440" w:right="1440"/>
    </w:pPr>
  </w:style>
  <w:style w:type="character" w:customStyle="1" w:styleId="Subscript">
    <w:name w:val="Subscript"/>
    <w:basedOn w:val="DefaultParagraphFont"/>
    <w:rsid w:val="008D2FC4"/>
    <w:rPr>
      <w:sz w:val="16"/>
      <w:vertAlign w:val="subscript"/>
    </w:rPr>
  </w:style>
  <w:style w:type="character" w:customStyle="1" w:styleId="Superscript">
    <w:name w:val="Superscript"/>
    <w:basedOn w:val="DefaultParagraphFont"/>
    <w:rsid w:val="008D2FC4"/>
    <w:rPr>
      <w:sz w:val="16"/>
      <w:vertAlign w:val="superscript"/>
    </w:rPr>
  </w:style>
  <w:style w:type="character" w:customStyle="1" w:styleId="Symbols">
    <w:name w:val="Symbols"/>
    <w:basedOn w:val="DefaultParagraphFont"/>
    <w:rsid w:val="008D2FC4"/>
    <w:rPr>
      <w:rFonts w:ascii="Symbol" w:hAnsi="Symbol"/>
    </w:rPr>
  </w:style>
  <w:style w:type="character" w:customStyle="1" w:styleId="MenuOptions">
    <w:name w:val="Menu Options"/>
    <w:basedOn w:val="DefaultParagraphFont"/>
    <w:rsid w:val="008D2FC4"/>
    <w:rPr>
      <w:rFonts w:ascii="Arial Narrow" w:hAnsi="Arial Narrow"/>
      <w:smallCaps/>
    </w:rPr>
  </w:style>
  <w:style w:type="character" w:customStyle="1" w:styleId="Buttons">
    <w:name w:val="Buttons"/>
    <w:basedOn w:val="DefaultParagraphFont"/>
    <w:rsid w:val="008D2FC4"/>
    <w:rPr>
      <w:b/>
    </w:rPr>
  </w:style>
  <w:style w:type="character" w:customStyle="1" w:styleId="Underlined">
    <w:name w:val="Underlined"/>
    <w:basedOn w:val="DefaultParagraphFont"/>
    <w:rsid w:val="008D2FC4"/>
    <w:rPr>
      <w:u w:val="single"/>
    </w:rPr>
  </w:style>
  <w:style w:type="paragraph" w:customStyle="1" w:styleId="TableBodyTextRight">
    <w:name w:val="Table Body Text Right"/>
    <w:basedOn w:val="TableBodyText"/>
    <w:rsid w:val="008D2FC4"/>
    <w:pPr>
      <w:widowControl w:val="0"/>
      <w:autoSpaceDE w:val="0"/>
      <w:autoSpaceDN w:val="0"/>
      <w:adjustRightInd w:val="0"/>
      <w:jc w:val="right"/>
    </w:pPr>
    <w:rPr>
      <w:rFonts w:cs="Arial"/>
      <w:szCs w:val="18"/>
    </w:rPr>
  </w:style>
  <w:style w:type="paragraph" w:customStyle="1" w:styleId="CopyrightText">
    <w:name w:val="Copyright Text"/>
    <w:basedOn w:val="BodyText"/>
    <w:rsid w:val="008D2FC4"/>
    <w:rPr>
      <w:sz w:val="18"/>
    </w:rPr>
  </w:style>
  <w:style w:type="paragraph" w:customStyle="1" w:styleId="BodySmallRight">
    <w:name w:val="Body Small Right"/>
    <w:basedOn w:val="BodyTextRight"/>
    <w:rsid w:val="008D2FC4"/>
    <w:rPr>
      <w:sz w:val="18"/>
      <w:szCs w:val="18"/>
    </w:rPr>
  </w:style>
  <w:style w:type="paragraph" w:customStyle="1" w:styleId="MarginEdition">
    <w:name w:val="Margin Edition"/>
    <w:basedOn w:val="MarginNote"/>
    <w:rsid w:val="008D2FC4"/>
    <w:pPr>
      <w:spacing w:before="0" w:after="0"/>
    </w:pPr>
    <w:rPr>
      <w:rFonts w:ascii="Times New Roman" w:hAnsi="Times New Roman"/>
      <w:color w:val="999999"/>
    </w:rPr>
  </w:style>
  <w:style w:type="paragraph" w:customStyle="1" w:styleId="Spacer">
    <w:name w:val="Spacer"/>
    <w:basedOn w:val="Normal"/>
    <w:rsid w:val="008D2FC4"/>
    <w:rPr>
      <w:sz w:val="2"/>
      <w:szCs w:val="2"/>
    </w:rPr>
  </w:style>
  <w:style w:type="character" w:customStyle="1" w:styleId="Small">
    <w:name w:val="Small"/>
    <w:basedOn w:val="DefaultParagraphFont"/>
    <w:rsid w:val="008D2FC4"/>
    <w:rPr>
      <w:sz w:val="16"/>
    </w:rPr>
  </w:style>
  <w:style w:type="paragraph" w:customStyle="1" w:styleId="WideTable">
    <w:name w:val="Wide Table"/>
    <w:basedOn w:val="Normal"/>
    <w:rsid w:val="008D2FC4"/>
    <w:pPr>
      <w:ind w:left="-1418"/>
    </w:pPr>
    <w:rPr>
      <w:sz w:val="2"/>
      <w:szCs w:val="2"/>
    </w:rPr>
  </w:style>
  <w:style w:type="character" w:styleId="PageNumber">
    <w:name w:val="page number"/>
    <w:basedOn w:val="DefaultParagraphFont"/>
    <w:rsid w:val="008D2FC4"/>
  </w:style>
  <w:style w:type="paragraph" w:styleId="Quote">
    <w:name w:val="Quote"/>
    <w:basedOn w:val="Heading1"/>
    <w:link w:val="QuoteChar"/>
    <w:qFormat/>
    <w:rsid w:val="008D2FC4"/>
    <w:rPr>
      <w:b w:val="0"/>
      <w:sz w:val="72"/>
      <w:szCs w:val="72"/>
      <w:lang w:val="en-NZ"/>
    </w:rPr>
  </w:style>
  <w:style w:type="character" w:customStyle="1" w:styleId="QuoteChar">
    <w:name w:val="Quote Char"/>
    <w:basedOn w:val="DefaultParagraphFont"/>
    <w:link w:val="Quote"/>
    <w:rsid w:val="008D2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FC4"/>
    <w:pPr>
      <w:pageBreakBefore/>
    </w:pPr>
  </w:style>
  <w:style w:type="paragraph" w:customStyle="1" w:styleId="Border">
    <w:name w:val="Border"/>
    <w:basedOn w:val="Normal"/>
    <w:qFormat/>
    <w:rsid w:val="008D2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FC4"/>
    <w:rPr>
      <w:b/>
      <w:bCs/>
      <w:i/>
      <w:iCs/>
      <w:color w:val="auto"/>
    </w:rPr>
  </w:style>
  <w:style w:type="paragraph" w:styleId="IntenseQuote">
    <w:name w:val="Intense Quote"/>
    <w:basedOn w:val="Normal"/>
    <w:next w:val="Normal"/>
    <w:link w:val="IntenseQuoteChar"/>
    <w:uiPriority w:val="30"/>
    <w:qFormat/>
    <w:rsid w:val="008D2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FC4"/>
    <w:rPr>
      <w:smallCaps/>
      <w:color w:val="auto"/>
      <w:u w:val="single"/>
    </w:rPr>
  </w:style>
  <w:style w:type="character" w:styleId="IntenseReference">
    <w:name w:val="Intense Reference"/>
    <w:basedOn w:val="DefaultParagraphFont"/>
    <w:uiPriority w:val="32"/>
    <w:qFormat/>
    <w:rsid w:val="008D2FC4"/>
    <w:rPr>
      <w:b/>
      <w:bCs/>
      <w:smallCaps/>
      <w:color w:val="auto"/>
      <w:spacing w:val="5"/>
      <w:u w:val="single"/>
    </w:rPr>
  </w:style>
  <w:style w:type="paragraph" w:customStyle="1" w:styleId="2ColumnHeading">
    <w:name w:val="2Column Heading"/>
    <w:basedOn w:val="BodyText"/>
    <w:qFormat/>
    <w:rsid w:val="008D2FC4"/>
    <w:pPr>
      <w:spacing w:after="60"/>
      <w:ind w:left="-2268"/>
    </w:pPr>
    <w:rPr>
      <w:b/>
    </w:rPr>
  </w:style>
  <w:style w:type="paragraph" w:customStyle="1" w:styleId="Heading1TOC">
    <w:name w:val="Heading1 TOC"/>
    <w:basedOn w:val="Normal"/>
    <w:qFormat/>
    <w:rsid w:val="008D2FC4"/>
    <w:pPr>
      <w:spacing w:before="240" w:after="120"/>
    </w:pPr>
    <w:rPr>
      <w:rFonts w:ascii="Times New Roman" w:hAnsi="Times New Roman"/>
      <w:b/>
      <w:sz w:val="32"/>
    </w:rPr>
  </w:style>
  <w:style w:type="paragraph" w:customStyle="1" w:styleId="Heading2TOC">
    <w:name w:val="Heading2 TOC"/>
    <w:basedOn w:val="Normal"/>
    <w:qFormat/>
    <w:rsid w:val="008D2FC4"/>
    <w:pPr>
      <w:spacing w:before="240" w:after="60"/>
    </w:pPr>
    <w:rPr>
      <w:rFonts w:ascii="Times New Roman" w:hAnsi="Times New Roman"/>
      <w:b/>
      <w:sz w:val="28"/>
    </w:rPr>
  </w:style>
  <w:style w:type="character" w:customStyle="1" w:styleId="Underline">
    <w:name w:val="Underline"/>
    <w:basedOn w:val="DefaultParagraphFont"/>
    <w:qFormat/>
    <w:rsid w:val="008D2FC4"/>
    <w:rPr>
      <w:u w:val="single"/>
    </w:rPr>
  </w:style>
  <w:style w:type="character" w:customStyle="1" w:styleId="BoldandItalics">
    <w:name w:val="Bold and Italics"/>
    <w:qFormat/>
    <w:rsid w:val="008D2FC4"/>
    <w:rPr>
      <w:b/>
      <w:i/>
      <w:u w:val="none"/>
    </w:rPr>
  </w:style>
  <w:style w:type="paragraph" w:styleId="BalloonText">
    <w:name w:val="Balloon Text"/>
    <w:basedOn w:val="Normal"/>
    <w:link w:val="BalloonTextChar"/>
    <w:rsid w:val="008D2FC4"/>
    <w:rPr>
      <w:rFonts w:ascii="Tahoma" w:hAnsi="Tahoma" w:cs="Tahoma"/>
      <w:sz w:val="16"/>
      <w:szCs w:val="16"/>
    </w:rPr>
  </w:style>
  <w:style w:type="character" w:customStyle="1" w:styleId="BalloonTextChar">
    <w:name w:val="Balloon Text Char"/>
    <w:basedOn w:val="DefaultParagraphFont"/>
    <w:link w:val="BalloonText"/>
    <w:rsid w:val="008D2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F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FC4"/>
    <w:rPr>
      <w:b/>
      <w:color w:val="660033"/>
      <w:spacing w:val="0"/>
    </w:rPr>
  </w:style>
  <w:style w:type="paragraph" w:customStyle="1" w:styleId="Nameditemlist">
    <w:name w:val="Named item list"/>
    <w:basedOn w:val="BodyText"/>
    <w:qFormat/>
    <w:rsid w:val="008D2FC4"/>
    <w:pPr>
      <w:tabs>
        <w:tab w:val="left" w:pos="2835"/>
      </w:tabs>
      <w:ind w:left="2835" w:hanging="2835"/>
    </w:pPr>
  </w:style>
  <w:style w:type="paragraph" w:customStyle="1" w:styleId="BodyTextnopadding">
    <w:name w:val="Body Text no padding"/>
    <w:basedOn w:val="BodyText"/>
    <w:qFormat/>
    <w:rsid w:val="008D2FC4"/>
    <w:pPr>
      <w:spacing w:before="0" w:after="0"/>
    </w:pPr>
  </w:style>
  <w:style w:type="paragraph" w:customStyle="1" w:styleId="BodyTextBold">
    <w:name w:val="Body Text Bold"/>
    <w:basedOn w:val="BodyText"/>
    <w:qFormat/>
    <w:rsid w:val="008D2FC4"/>
    <w:rPr>
      <w:b/>
    </w:rPr>
  </w:style>
  <w:style w:type="character" w:styleId="Hyperlink">
    <w:name w:val="Hyperlink"/>
    <w:basedOn w:val="DefaultParagraphFont"/>
    <w:uiPriority w:val="99"/>
    <w:unhideWhenUsed/>
    <w:rsid w:val="00804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8401</Characters>
  <Application>Microsoft Office Word</Application>
  <DocSecurity>0</DocSecurity>
  <Lines>254</Lines>
  <Paragraphs>163</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HLTENN017 Apply nursing practice in the orthopaedic care setting</dc:title>
  <dc:subject>Approved</dc:subject>
  <dc:creator>HumanAbility</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