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BE4" w:rsidP="002A0BE4">
      <w:pPr>
        <w:pStyle w:val="Title"/>
      </w:pPr>
      <w:r>
        <w:fldChar w:fldCharType="begin"/>
      </w:r>
      <w:r>
        <w:instrText xml:space="preserve"> TITLE   \* MERGEFORMAT </w:instrText>
      </w:r>
      <w:r>
        <w:fldChar w:fldCharType="separate"/>
      </w:r>
      <w:r>
        <w:t>Assessment Requirements for HLTENN017 Apply nursing practice in the orthopaedic care setting</w:t>
      </w:r>
      <w:r>
        <w:fldChar w:fldCharType="end"/>
      </w:r>
    </w:p>
    <w:p w:rsidR="002A0BE4" w:rsidP="002A0BE4">
      <w:pPr>
        <w:pStyle w:val="Version"/>
        <w:sectPr w:rsidSect="00766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599" w:rsidP="00766599">
      <w:pPr>
        <w:pStyle w:val="SuperHeading"/>
      </w:pPr>
      <w:r w:rsidRPr="00766599">
        <w:t>Assessment Requirements for HLTENN017 Apply nursing practice in the orthopaedic care setting</w:t>
      </w:r>
    </w:p>
    <w:p w:rsidR="00000000" w:rsidRPr="00766599" w:rsidP="00766599">
      <w:pPr>
        <w:pStyle w:val="Heading1"/>
      </w:pPr>
      <w:bookmarkStart w:id="1" w:name="O_820843"/>
      <w:bookmarkEnd w:id="1"/>
      <w:r w:rsidRPr="00766599">
        <w:t>Modification History</w:t>
      </w:r>
    </w:p>
    <w:tbl>
      <w:tblPr>
        <w:tblW w:w="0" w:type="auto"/>
        <w:tblLayout w:type="fixed"/>
        <w:tblCellMar>
          <w:left w:w="62" w:type="dxa"/>
          <w:right w:w="62" w:type="dxa"/>
        </w:tblCellMar>
        <w:tblLook w:val="0000"/>
      </w:tblPr>
      <w:tblGrid>
        <w:gridCol w:w="2790"/>
        <w:gridCol w:w="6344"/>
      </w:tblGrid>
      <w:tr w:rsidTr="0076659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99" w:rsidP="00766599">
            <w:pPr>
              <w:pStyle w:val="BodyText"/>
            </w:pPr>
            <w:r w:rsidRPr="0076659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99">
            <w:pPr>
              <w:pStyle w:val="BodyText"/>
              <w:rPr>
                <w:lang w:val="en-NZ"/>
              </w:rPr>
            </w:pPr>
            <w:r w:rsidRPr="00766599">
              <w:rPr>
                <w:rStyle w:val="SpecialBold"/>
              </w:rPr>
              <w:t>Comments</w:t>
            </w:r>
          </w:p>
        </w:tc>
      </w:tr>
      <w:tr w:rsidTr="0076659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599">
            <w:pPr>
              <w:pStyle w:val="BodyText"/>
              <w:rPr>
                <w:lang w:val="en-NZ"/>
              </w:rPr>
            </w:pPr>
            <w:r w:rsidRPr="0076659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599" w:rsidP="00766599">
            <w:pPr>
              <w:pStyle w:val="BodyText"/>
            </w:pPr>
            <w:r w:rsidRPr="00766599">
              <w:t xml:space="preserve">This version was released in </w:t>
            </w:r>
            <w:r w:rsidRPr="00766599">
              <w:rPr>
                <w:rStyle w:val="Emphasis"/>
              </w:rPr>
              <w:t>HLT Health Training Package release 3.0</w:t>
            </w:r>
            <w:r w:rsidRPr="00766599">
              <w:t xml:space="preserve"> and meets the requirements of the 2012 Standards for Training Packages.</w:t>
            </w:r>
          </w:p>
          <w:p w:rsidR="00000000" w:rsidRPr="00766599" w:rsidP="00766599">
            <w:pPr>
              <w:pStyle w:val="BodyText"/>
            </w:pPr>
            <w:r w:rsidRPr="00766599">
              <w:t>Significant changes to the elements and performance criteria. New evidence requirements for assessment, including volume and frequency requirements. Minimal change to knowledge eviden</w:t>
            </w:r>
            <w:r w:rsidRPr="00766599">
              <w:t>ce.</w:t>
            </w:r>
          </w:p>
          <w:p w:rsidR="00000000" w:rsidRPr="00766599" w:rsidP="00766599">
            <w:pPr>
              <w:pStyle w:val="BodyText"/>
            </w:pPr>
            <w:r w:rsidRPr="00766599">
              <w:t>Supersedes HLTEN601B</w:t>
            </w:r>
          </w:p>
        </w:tc>
      </w:tr>
    </w:tbl>
    <w:p w:rsidR="00000000" w:rsidRPr="00766599" w:rsidP="00766599">
      <w:pPr>
        <w:pStyle w:val="BodyText"/>
      </w:pPr>
    </w:p>
    <w:p w:rsidR="00000000" w:rsidRPr="00766599" w:rsidP="00766599">
      <w:pPr>
        <w:pStyle w:val="AllowPageBreak"/>
      </w:pPr>
    </w:p>
    <w:p w:rsidR="00000000" w:rsidRPr="00766599" w:rsidP="00766599">
      <w:pPr>
        <w:pStyle w:val="Heading1"/>
      </w:pPr>
      <w:bookmarkStart w:id="2" w:name="O_820844"/>
      <w:bookmarkEnd w:id="2"/>
      <w:r w:rsidRPr="00766599">
        <w:t>Performance Evidence</w:t>
      </w:r>
    </w:p>
    <w:p w:rsidR="00000000" w:rsidRPr="00766599" w:rsidP="002A0BE4">
      <w:pPr>
        <w:pStyle w:val="BodyText"/>
      </w:pPr>
      <w:r w:rsidRPr="00766599">
        <w:t>The candidate must show evidence of the ability to complete tasks outlined in elements and performance criteria of this unit, manage tasks and manage contingencies in the context of the job r</w:t>
      </w:r>
      <w:r w:rsidRPr="00766599">
        <w:t>ole. There must be evidence that the candidate has:</w:t>
      </w:r>
    </w:p>
    <w:p w:rsidR="00000000" w:rsidRPr="00766599" w:rsidP="00766599">
      <w:pPr>
        <w:pStyle w:val="ListBullet"/>
      </w:pPr>
      <w:r w:rsidRPr="00766599">
        <w:t>undertaken work in accordance with Nursing and Midwifery Board of Australia professional practice standards, codes and guidelines</w:t>
      </w:r>
    </w:p>
    <w:p w:rsidR="00000000" w:rsidRPr="00766599" w:rsidP="00766599">
      <w:pPr>
        <w:pStyle w:val="ListBullet"/>
      </w:pPr>
      <w:r w:rsidRPr="00766599">
        <w:t>worked as part of the interdisciplinary health care team in the workplace</w:t>
      </w:r>
      <w:r w:rsidRPr="00766599">
        <w:t xml:space="preserve"> providing orthopaedic nursing interventions for each of the following conditions:</w:t>
      </w:r>
    </w:p>
    <w:p w:rsidR="00000000" w:rsidRPr="00766599" w:rsidP="00766599">
      <w:pPr>
        <w:pStyle w:val="ListBullet2"/>
      </w:pPr>
      <w:r w:rsidRPr="00766599">
        <w:t>fracture with external fixation</w:t>
      </w:r>
    </w:p>
    <w:p w:rsidR="00000000" w:rsidRPr="00766599" w:rsidP="00766599">
      <w:pPr>
        <w:pStyle w:val="ListBullet2"/>
      </w:pPr>
      <w:r w:rsidRPr="00766599">
        <w:t>fracture with internal fixation</w:t>
      </w:r>
    </w:p>
    <w:p w:rsidR="00000000" w:rsidRPr="00766599" w:rsidP="00766599">
      <w:pPr>
        <w:pStyle w:val="ListBullet2"/>
      </w:pPr>
      <w:r w:rsidRPr="00766599">
        <w:t>fracture requiring non-surgical management</w:t>
      </w:r>
    </w:p>
    <w:p w:rsidR="00000000" w:rsidRPr="00766599" w:rsidP="00766599">
      <w:pPr>
        <w:pStyle w:val="ListBullet2"/>
      </w:pPr>
      <w:r w:rsidRPr="00766599">
        <w:t>musculoskeletal injury where the person requires continuous passive motion therapy (CPM)</w:t>
      </w:r>
    </w:p>
    <w:p w:rsidR="00000000" w:rsidRPr="00766599" w:rsidP="00766599">
      <w:pPr>
        <w:pStyle w:val="ListBullet2"/>
      </w:pPr>
      <w:r w:rsidRPr="00766599">
        <w:t>amputation where the person requires assistance with a prosthetic aid or device</w:t>
      </w:r>
    </w:p>
    <w:p w:rsidR="00000000" w:rsidRPr="00766599" w:rsidP="00766599">
      <w:pPr>
        <w:pStyle w:val="ListBullet"/>
      </w:pPr>
      <w:r w:rsidRPr="00766599">
        <w:t>conducted 2 specific activities in the workplace or simulated environment to support q</w:t>
      </w:r>
      <w:r w:rsidRPr="00766599">
        <w:t>uality and promote safe innovations in orthopaedic nursing for an interdisciplinary team based on knowledge acquired through own professional development and learning.</w:t>
      </w:r>
    </w:p>
    <w:p w:rsidR="00000000" w:rsidRPr="00766599" w:rsidP="00766599">
      <w:pPr>
        <w:pStyle w:val="AllowPageBreak"/>
      </w:pPr>
    </w:p>
    <w:p w:rsidR="00000000" w:rsidRPr="00766599" w:rsidP="00766599">
      <w:pPr>
        <w:pStyle w:val="Heading1"/>
      </w:pPr>
      <w:bookmarkStart w:id="3" w:name="O_820845"/>
      <w:bookmarkEnd w:id="3"/>
      <w:r w:rsidRPr="00766599">
        <w:t>Knowledge Evidence</w:t>
      </w:r>
    </w:p>
    <w:p w:rsidR="00000000" w:rsidRPr="00766599" w:rsidP="002A0BE4">
      <w:pPr>
        <w:pStyle w:val="BodyText"/>
      </w:pPr>
      <w:r w:rsidRPr="00766599">
        <w:t xml:space="preserve">The candidate must be able to demonstrate essential </w:t>
      </w:r>
      <w:r w:rsidRPr="00766599">
        <w:t xml:space="preserve">knowledge required to effectively complete tasks outlined in elements and performance criteria of this unit, manage tasks and manage contingencies in the context of the work role. This includes knowledge of: </w:t>
      </w:r>
    </w:p>
    <w:p w:rsidR="00000000" w:rsidRPr="00766599" w:rsidP="00766599">
      <w:pPr>
        <w:pStyle w:val="ListBullet"/>
      </w:pPr>
      <w:r w:rsidRPr="00766599">
        <w:t xml:space="preserve">the impact orthopaedic conditions may have on </w:t>
      </w:r>
      <w:r w:rsidRPr="00766599">
        <w:t>the person, including:</w:t>
      </w:r>
    </w:p>
    <w:p w:rsidR="00000000" w:rsidRPr="00766599" w:rsidP="00766599">
      <w:pPr>
        <w:pStyle w:val="ListBullet2"/>
      </w:pPr>
      <w:r w:rsidRPr="00766599">
        <w:t>limitations in ability to perform daily living activities</w:t>
      </w:r>
    </w:p>
    <w:p w:rsidR="00000000" w:rsidRPr="00766599" w:rsidP="00766599">
      <w:pPr>
        <w:pStyle w:val="ListBullet2"/>
      </w:pPr>
      <w:r w:rsidRPr="00766599">
        <w:t>loss or limitation of physical function</w:t>
      </w:r>
    </w:p>
    <w:p w:rsidR="00000000" w:rsidRPr="00766599" w:rsidP="00766599">
      <w:pPr>
        <w:pStyle w:val="ListBullet2"/>
      </w:pPr>
      <w:r w:rsidRPr="00766599">
        <w:t xml:space="preserve">reduction in musculoskeletal function </w:t>
      </w:r>
    </w:p>
    <w:p w:rsidR="00000000" w:rsidRPr="00766599" w:rsidP="00766599">
      <w:pPr>
        <w:pStyle w:val="ListBullet2"/>
      </w:pPr>
      <w:r w:rsidRPr="00766599">
        <w:t>accompanying trauma, injuries or impact of secondary disease processes</w:t>
      </w:r>
    </w:p>
    <w:p w:rsidR="00000000" w:rsidRPr="00766599" w:rsidP="00766599">
      <w:pPr>
        <w:pStyle w:val="ListBullet2"/>
      </w:pPr>
      <w:r w:rsidRPr="00766599">
        <w:t>impact on sexuality, relationships, self-image, body image</w:t>
      </w:r>
    </w:p>
    <w:p w:rsidR="00000000" w:rsidRPr="00766599" w:rsidP="00766599">
      <w:pPr>
        <w:pStyle w:val="ListBullet2"/>
      </w:pPr>
      <w:r w:rsidRPr="00766599">
        <w:t xml:space="preserve">grief and loss </w:t>
      </w:r>
    </w:p>
    <w:p w:rsidR="00000000" w:rsidRPr="00766599" w:rsidP="00766599">
      <w:pPr>
        <w:pStyle w:val="ListBullet2"/>
      </w:pPr>
      <w:r w:rsidRPr="00766599">
        <w:t>need for support with personal coping mechanisms and community support mechanisms</w:t>
      </w:r>
    </w:p>
    <w:p w:rsidR="00000000" w:rsidRPr="00766599" w:rsidP="00766599">
      <w:pPr>
        <w:pStyle w:val="ListBullet2"/>
      </w:pPr>
      <w:r w:rsidRPr="00766599">
        <w:t>need for support with maintenance, improvement of quality of life</w:t>
      </w:r>
    </w:p>
    <w:p w:rsidR="00000000" w:rsidRPr="00766599" w:rsidP="00766599">
      <w:pPr>
        <w:pStyle w:val="ListBullet"/>
      </w:pPr>
      <w:r w:rsidRPr="00766599">
        <w:t>anatomy, physiology and pathophy</w:t>
      </w:r>
      <w:r w:rsidRPr="00766599">
        <w:t>siology of clinical manifestations of orthopaedic conditions, with sufficiently in-depth knowledge to make considered judgements and to contribute professionally to the orthopaedic care team</w:t>
      </w:r>
    </w:p>
    <w:p w:rsidR="00000000" w:rsidRPr="00766599" w:rsidP="00766599">
      <w:pPr>
        <w:pStyle w:val="ListBullet2"/>
      </w:pPr>
      <w:r w:rsidRPr="00766599">
        <w:t>musculoskeletal conditions, such as:</w:t>
      </w:r>
    </w:p>
    <w:p w:rsidR="00000000" w:rsidRPr="00766599" w:rsidP="00766599">
      <w:pPr>
        <w:pStyle w:val="ListBullet3"/>
      </w:pPr>
      <w:r w:rsidRPr="00766599">
        <w:t>gout</w:t>
      </w:r>
    </w:p>
    <w:p w:rsidR="00000000" w:rsidRPr="00766599" w:rsidP="00766599">
      <w:pPr>
        <w:pStyle w:val="ListBullet3"/>
      </w:pPr>
      <w:r w:rsidRPr="00766599">
        <w:t>systemic lupus erythematosus</w:t>
      </w:r>
    </w:p>
    <w:p w:rsidR="00000000" w:rsidRPr="00766599" w:rsidP="00766599">
      <w:pPr>
        <w:pStyle w:val="ListBullet3"/>
      </w:pPr>
      <w:r w:rsidRPr="00766599">
        <w:t>osteomyelitis</w:t>
      </w:r>
    </w:p>
    <w:p w:rsidR="00000000" w:rsidRPr="00766599" w:rsidP="00766599">
      <w:pPr>
        <w:pStyle w:val="ListBullet3"/>
      </w:pPr>
      <w:r w:rsidRPr="00766599">
        <w:t>bursitis</w:t>
      </w:r>
    </w:p>
    <w:p w:rsidR="00000000" w:rsidRPr="00766599" w:rsidP="00766599">
      <w:pPr>
        <w:pStyle w:val="ListBullet3"/>
      </w:pPr>
      <w:r w:rsidRPr="00766599">
        <w:t>epicondylitis</w:t>
      </w:r>
    </w:p>
    <w:p w:rsidR="00000000" w:rsidRPr="00766599" w:rsidP="00766599">
      <w:pPr>
        <w:pStyle w:val="ListBullet3"/>
      </w:pPr>
      <w:r w:rsidRPr="00766599">
        <w:t>hallux valgus</w:t>
      </w:r>
    </w:p>
    <w:p w:rsidR="00000000" w:rsidRPr="00766599" w:rsidP="00766599">
      <w:pPr>
        <w:pStyle w:val="ListBullet3"/>
      </w:pPr>
      <w:r w:rsidRPr="00766599">
        <w:t>avascular necrosis</w:t>
      </w:r>
    </w:p>
    <w:p w:rsidR="00000000" w:rsidRPr="00766599" w:rsidP="00766599">
      <w:pPr>
        <w:pStyle w:val="ListBullet3"/>
      </w:pPr>
      <w:r w:rsidRPr="00766599">
        <w:t>compartment syndrome</w:t>
      </w:r>
    </w:p>
    <w:p w:rsidR="00000000" w:rsidRPr="00766599" w:rsidP="00766599">
      <w:pPr>
        <w:pStyle w:val="ListBullet3"/>
      </w:pPr>
      <w:r w:rsidRPr="00766599">
        <w:t>thromboembolism</w:t>
      </w:r>
    </w:p>
    <w:p w:rsidR="00000000" w:rsidRPr="00766599" w:rsidP="00766599">
      <w:pPr>
        <w:pStyle w:val="ListBullet3"/>
      </w:pPr>
      <w:r w:rsidRPr="00766599">
        <w:t>disseminated intravascular coagulation</w:t>
      </w:r>
    </w:p>
    <w:p w:rsidR="00000000" w:rsidRPr="00766599" w:rsidP="00766599">
      <w:pPr>
        <w:pStyle w:val="ListBullet3"/>
      </w:pPr>
      <w:r w:rsidRPr="00766599">
        <w:t>delayed union</w:t>
      </w:r>
    </w:p>
    <w:p w:rsidR="00000000" w:rsidRPr="00766599" w:rsidP="00766599">
      <w:pPr>
        <w:pStyle w:val="ListBullet3"/>
      </w:pPr>
      <w:r w:rsidRPr="00766599">
        <w:t>fat embolism</w:t>
      </w:r>
    </w:p>
    <w:p w:rsidR="00000000" w:rsidRPr="00766599" w:rsidP="00766599">
      <w:pPr>
        <w:pStyle w:val="ListBullet3"/>
      </w:pPr>
      <w:r w:rsidRPr="00766599">
        <w:t>contractures</w:t>
      </w:r>
    </w:p>
    <w:p w:rsidR="00000000" w:rsidRPr="00766599" w:rsidP="00766599">
      <w:pPr>
        <w:pStyle w:val="ListBullet2"/>
      </w:pPr>
      <w:r w:rsidRPr="00766599">
        <w:t>congenital musculoskeletal conditions, s</w:t>
      </w:r>
      <w:r w:rsidRPr="00766599">
        <w:t>uch as:</w:t>
      </w:r>
    </w:p>
    <w:p w:rsidR="00000000" w:rsidRPr="00766599" w:rsidP="00766599">
      <w:pPr>
        <w:pStyle w:val="ListBullet3"/>
      </w:pPr>
      <w:r w:rsidRPr="00766599">
        <w:t>torticollis</w:t>
      </w:r>
    </w:p>
    <w:p w:rsidR="00000000" w:rsidRPr="00766599" w:rsidP="00766599">
      <w:pPr>
        <w:pStyle w:val="ListBullet3"/>
      </w:pPr>
      <w:r w:rsidRPr="00766599">
        <w:t>spina bifida</w:t>
      </w:r>
    </w:p>
    <w:p w:rsidR="00000000" w:rsidRPr="00766599" w:rsidP="00766599">
      <w:pPr>
        <w:pStyle w:val="ListBullet"/>
      </w:pPr>
      <w:r w:rsidRPr="00766599">
        <w:t>traumatic musculoskeletal conditions, such as:</w:t>
      </w:r>
    </w:p>
    <w:p w:rsidR="00000000" w:rsidRPr="00766599" w:rsidP="00766599">
      <w:pPr>
        <w:pStyle w:val="ListBullet3"/>
      </w:pPr>
      <w:r w:rsidRPr="00766599">
        <w:t>dislocations</w:t>
      </w:r>
    </w:p>
    <w:p w:rsidR="00000000" w:rsidRPr="00766599" w:rsidP="00766599">
      <w:pPr>
        <w:pStyle w:val="ListBullet3"/>
      </w:pPr>
      <w:r>
        <w:t>•</w:t>
      </w:r>
      <w:r>
        <w:tab/>
      </w:r>
      <w:r w:rsidRPr="00766599">
        <w:t>sprains</w:t>
      </w:r>
    </w:p>
    <w:p w:rsidR="00000000" w:rsidRPr="00766599" w:rsidP="00766599">
      <w:pPr>
        <w:pStyle w:val="ListBullet3"/>
      </w:pPr>
      <w:r>
        <w:t>•</w:t>
      </w:r>
      <w:r>
        <w:tab/>
      </w:r>
      <w:r w:rsidRPr="00766599">
        <w:t>fractures</w:t>
      </w:r>
    </w:p>
    <w:p w:rsidR="00000000" w:rsidRPr="00766599" w:rsidP="00766599">
      <w:pPr>
        <w:pStyle w:val="ListBullet3"/>
      </w:pPr>
      <w:r w:rsidRPr="00766599">
        <w:t>traumatic amputations</w:t>
      </w:r>
    </w:p>
    <w:p w:rsidR="00000000" w:rsidRPr="00766599" w:rsidP="00766599">
      <w:pPr>
        <w:pStyle w:val="ListBullet"/>
      </w:pPr>
      <w:r w:rsidRPr="00766599">
        <w:t>degenerative musculoskeletal conditions, such as:</w:t>
      </w:r>
    </w:p>
    <w:p w:rsidR="00000000" w:rsidRPr="00766599" w:rsidP="00766599">
      <w:pPr>
        <w:pStyle w:val="ListBullet3"/>
      </w:pPr>
      <w:r w:rsidRPr="00766599">
        <w:t>arthritis</w:t>
      </w:r>
    </w:p>
    <w:p w:rsidR="00000000" w:rsidRPr="00766599" w:rsidP="00766599">
      <w:pPr>
        <w:pStyle w:val="ListBullet3"/>
      </w:pPr>
      <w:r w:rsidRPr="00766599">
        <w:t>back pain</w:t>
      </w:r>
    </w:p>
    <w:p w:rsidR="00000000" w:rsidRPr="00766599" w:rsidP="00766599">
      <w:pPr>
        <w:pStyle w:val="ListBullet3"/>
      </w:pPr>
      <w:r w:rsidRPr="00766599">
        <w:t>muscle spasm</w:t>
      </w:r>
    </w:p>
    <w:p w:rsidR="00000000" w:rsidRPr="00766599" w:rsidP="00766599">
      <w:pPr>
        <w:pStyle w:val="ListBullet3"/>
      </w:pPr>
      <w:r w:rsidRPr="00766599">
        <w:t>disc prolapse</w:t>
      </w:r>
    </w:p>
    <w:p w:rsidR="00000000" w:rsidRPr="00766599" w:rsidP="00766599">
      <w:pPr>
        <w:pStyle w:val="ListBullet3"/>
      </w:pPr>
      <w:r w:rsidRPr="00766599">
        <w:t>osteoarthritis</w:t>
      </w:r>
    </w:p>
    <w:p w:rsidR="00000000" w:rsidRPr="00766599" w:rsidP="00766599">
      <w:pPr>
        <w:pStyle w:val="ListBullet3"/>
      </w:pPr>
      <w:r w:rsidRPr="00766599">
        <w:t>osteitis deformans</w:t>
      </w:r>
    </w:p>
    <w:p w:rsidR="00000000" w:rsidRPr="00766599" w:rsidP="00766599">
      <w:pPr>
        <w:pStyle w:val="ListBullet3"/>
      </w:pPr>
      <w:r w:rsidRPr="00766599">
        <w:t>osteomalacia</w:t>
      </w:r>
    </w:p>
    <w:p w:rsidR="00000000" w:rsidRPr="00766599" w:rsidP="00766599">
      <w:pPr>
        <w:pStyle w:val="ListBullet"/>
      </w:pPr>
      <w:r w:rsidRPr="00766599">
        <w:t xml:space="preserve">surgical interventions for musculoskeletal conditions, such as: </w:t>
      </w:r>
    </w:p>
    <w:p w:rsidR="00000000" w:rsidRPr="00766599" w:rsidP="00766599">
      <w:pPr>
        <w:pStyle w:val="ListBullet3"/>
      </w:pPr>
      <w:r w:rsidRPr="00766599">
        <w:t xml:space="preserve">internal and external fixtures for fractures, applications of surgical braces </w:t>
      </w:r>
    </w:p>
    <w:p w:rsidR="00000000" w:rsidRPr="00766599" w:rsidP="00766599">
      <w:pPr>
        <w:pStyle w:val="ListBullet3"/>
      </w:pPr>
      <w:r w:rsidRPr="00766599">
        <w:t xml:space="preserve">removal of bunions </w:t>
      </w:r>
    </w:p>
    <w:p w:rsidR="00000000" w:rsidRPr="00766599" w:rsidP="00766599">
      <w:pPr>
        <w:pStyle w:val="ListBullet3"/>
      </w:pPr>
      <w:r w:rsidRPr="00766599">
        <w:t xml:space="preserve">elective surgical procedures (joint replacement surgery) </w:t>
      </w:r>
    </w:p>
    <w:p w:rsidR="00000000" w:rsidRPr="00766599" w:rsidP="00766599">
      <w:pPr>
        <w:pStyle w:val="ListBullet3"/>
      </w:pPr>
      <w:r w:rsidRPr="00766599">
        <w:t xml:space="preserve">laminectomy </w:t>
      </w:r>
    </w:p>
    <w:p w:rsidR="00000000" w:rsidRPr="00766599" w:rsidP="00766599">
      <w:pPr>
        <w:pStyle w:val="ListBullet3"/>
      </w:pPr>
      <w:r w:rsidRPr="00766599">
        <w:t>surgical amputation</w:t>
      </w:r>
    </w:p>
    <w:p w:rsidR="00000000" w:rsidRPr="00766599" w:rsidP="00766599">
      <w:pPr>
        <w:pStyle w:val="ListBullet"/>
      </w:pPr>
      <w:r w:rsidRPr="00766599">
        <w:t>bone tumours, such as:</w:t>
      </w:r>
    </w:p>
    <w:p w:rsidR="00000000" w:rsidRPr="00766599" w:rsidP="00766599">
      <w:pPr>
        <w:pStyle w:val="ListBullet3"/>
      </w:pPr>
      <w:r w:rsidRPr="00766599">
        <w:t>metastatic bone carcinoma</w:t>
      </w:r>
    </w:p>
    <w:p w:rsidR="00000000" w:rsidRPr="00766599" w:rsidP="00766599">
      <w:pPr>
        <w:pStyle w:val="ListBullet3"/>
      </w:pPr>
      <w:r w:rsidRPr="00766599">
        <w:t xml:space="preserve">multiple myeloma </w:t>
      </w:r>
    </w:p>
    <w:p w:rsidR="00000000" w:rsidRPr="00766599" w:rsidP="00766599">
      <w:pPr>
        <w:pStyle w:val="ListBullet3"/>
      </w:pPr>
      <w:r w:rsidRPr="00766599">
        <w:t xml:space="preserve">bone tuberculosis </w:t>
      </w:r>
    </w:p>
    <w:p w:rsidR="00000000" w:rsidRPr="00766599" w:rsidP="00766599">
      <w:pPr>
        <w:pStyle w:val="ListBullet3"/>
      </w:pPr>
      <w:r w:rsidRPr="00766599">
        <w:t>osteosarcoma</w:t>
      </w:r>
    </w:p>
    <w:p w:rsidR="00000000" w:rsidRPr="00766599" w:rsidP="00766599">
      <w:pPr>
        <w:pStyle w:val="ListBullet3"/>
      </w:pPr>
      <w:r w:rsidRPr="00766599">
        <w:t>chondrosarcoma</w:t>
      </w:r>
    </w:p>
    <w:p w:rsidR="00000000" w:rsidRPr="00766599" w:rsidP="00766599">
      <w:pPr>
        <w:pStyle w:val="ListBullet"/>
      </w:pPr>
      <w:r w:rsidRPr="00766599">
        <w:t>specialised in-depth knowledge of orthopaedic equipment and devices used on the person including:</w:t>
      </w:r>
    </w:p>
    <w:p w:rsidR="00000000" w:rsidRPr="00766599" w:rsidP="00766599">
      <w:pPr>
        <w:pStyle w:val="ListBullet2"/>
      </w:pPr>
      <w:r w:rsidRPr="00766599">
        <w:t>tractio</w:t>
      </w:r>
      <w:r w:rsidRPr="00766599">
        <w:t>n devices</w:t>
      </w:r>
    </w:p>
    <w:p w:rsidR="00000000" w:rsidRPr="00766599" w:rsidP="00766599">
      <w:pPr>
        <w:pStyle w:val="ListBullet2"/>
      </w:pPr>
      <w:r w:rsidRPr="00766599">
        <w:t>castings</w:t>
      </w:r>
    </w:p>
    <w:p w:rsidR="00000000" w:rsidRPr="00766599" w:rsidP="00766599">
      <w:pPr>
        <w:pStyle w:val="ListBullet"/>
      </w:pPr>
      <w:r w:rsidRPr="00766599">
        <w:t>community and in-hospital rehabilitation services available for the person with orthopaedic conditions</w:t>
      </w:r>
    </w:p>
    <w:p w:rsidR="00000000" w:rsidRPr="00766599" w:rsidP="00766599">
      <w:pPr>
        <w:pStyle w:val="ListBullet"/>
      </w:pPr>
      <w:r w:rsidRPr="00766599">
        <w:t xml:space="preserve">diagnostic tests associated with orthopaedics and their meanings including: </w:t>
      </w:r>
    </w:p>
    <w:p w:rsidR="00000000" w:rsidRPr="00766599" w:rsidP="00766599">
      <w:pPr>
        <w:pStyle w:val="ListBullet2"/>
      </w:pPr>
      <w:r w:rsidRPr="00766599">
        <w:t>X-rays</w:t>
      </w:r>
    </w:p>
    <w:p w:rsidR="00000000" w:rsidRPr="00766599" w:rsidP="00766599">
      <w:pPr>
        <w:pStyle w:val="ListBullet2"/>
      </w:pPr>
      <w:r w:rsidRPr="00766599">
        <w:t>Computerised Tomography (CT) scans</w:t>
      </w:r>
    </w:p>
    <w:p w:rsidR="00000000" w:rsidRPr="00766599" w:rsidP="00766599">
      <w:pPr>
        <w:pStyle w:val="ListBullet2"/>
      </w:pPr>
      <w:r w:rsidRPr="00766599">
        <w:t>Magnetic Resonance Imaging (MRI) scans</w:t>
      </w:r>
    </w:p>
    <w:p w:rsidR="00000000" w:rsidRPr="00766599" w:rsidP="00766599">
      <w:pPr>
        <w:pStyle w:val="ListBullet2"/>
      </w:pPr>
      <w:r w:rsidRPr="00766599">
        <w:t>ultrasounds</w:t>
      </w:r>
    </w:p>
    <w:p w:rsidR="00000000" w:rsidRPr="00766599" w:rsidP="00766599">
      <w:pPr>
        <w:pStyle w:val="ListBullet2"/>
      </w:pPr>
      <w:r w:rsidRPr="00766599">
        <w:t>bone scans</w:t>
      </w:r>
    </w:p>
    <w:p w:rsidR="00000000" w:rsidRPr="00766599" w:rsidP="00766599">
      <w:pPr>
        <w:pStyle w:val="ListBullet2"/>
      </w:pPr>
      <w:r w:rsidRPr="00766599">
        <w:t xml:space="preserve">biopsies </w:t>
      </w:r>
    </w:p>
    <w:p w:rsidR="00000000" w:rsidRPr="00766599" w:rsidP="00766599">
      <w:pPr>
        <w:pStyle w:val="ListBullet"/>
      </w:pPr>
      <w:r w:rsidRPr="00766599">
        <w:t>specialised medical and surgical nursing management of the person with orthopaedic condition including emergency management of complications</w:t>
      </w:r>
    </w:p>
    <w:p w:rsidR="00000000" w:rsidRPr="00766599" w:rsidP="00766599">
      <w:pPr>
        <w:pStyle w:val="ListBullet"/>
      </w:pPr>
      <w:r w:rsidRPr="00766599">
        <w:t>phases of recovery and how these impact nu</w:t>
      </w:r>
      <w:r w:rsidRPr="00766599">
        <w:t>rsing care for the person with orthopaedic condition</w:t>
      </w:r>
    </w:p>
    <w:p w:rsidR="00000000" w:rsidRPr="00766599" w:rsidP="00766599">
      <w:pPr>
        <w:pStyle w:val="ListBullet"/>
      </w:pPr>
      <w:r w:rsidRPr="00766599">
        <w:t>reflective practice and evidence-based practice in line with current literature and work of professional bodies associated with medical conditions.</w:t>
      </w:r>
    </w:p>
    <w:p w:rsidR="00000000" w:rsidRPr="00766599" w:rsidP="00766599">
      <w:pPr>
        <w:pStyle w:val="AllowPageBreak"/>
      </w:pPr>
    </w:p>
    <w:p w:rsidR="00000000" w:rsidRPr="00766599" w:rsidP="00766599">
      <w:pPr>
        <w:pStyle w:val="Heading1"/>
      </w:pPr>
      <w:bookmarkStart w:id="4" w:name="O_820846"/>
      <w:bookmarkEnd w:id="4"/>
      <w:r w:rsidRPr="00766599">
        <w:t>Assessment Conditions</w:t>
      </w:r>
    </w:p>
    <w:p w:rsidR="00000000" w:rsidRPr="00766599" w:rsidP="002A0BE4">
      <w:pPr>
        <w:pStyle w:val="BodyText"/>
      </w:pPr>
      <w:r w:rsidRPr="00766599">
        <w:t>Skills must have been demonstrated in the workplace with the addition of simulations and scenarios where the full range of contexts and situations cannot be provided in the workplace. The following conditions must be met for this unit:</w:t>
      </w:r>
    </w:p>
    <w:p w:rsidR="00000000" w:rsidRPr="00766599" w:rsidP="00766599">
      <w:pPr>
        <w:pStyle w:val="ListBullet"/>
      </w:pPr>
      <w:r w:rsidRPr="00766599">
        <w:t>use of suitable fac</w:t>
      </w:r>
      <w:r w:rsidRPr="00766599">
        <w:t>ilities, equipment and resources in line with the Australian Nursing and Midwifery Accreditation Council’s Standards including:</w:t>
      </w:r>
    </w:p>
    <w:p w:rsidR="00000000" w:rsidRPr="00766599" w:rsidP="00766599">
      <w:pPr>
        <w:pStyle w:val="ListBullet2"/>
      </w:pPr>
      <w:r w:rsidRPr="00766599">
        <w:t>splints</w:t>
      </w:r>
    </w:p>
    <w:p w:rsidR="00000000" w:rsidRPr="00766599" w:rsidP="00766599">
      <w:pPr>
        <w:pStyle w:val="ListBullet2"/>
      </w:pPr>
      <w:r w:rsidRPr="00766599">
        <w:t>bandages for casting</w:t>
      </w:r>
    </w:p>
    <w:p w:rsidR="00000000" w:rsidRPr="00766599" w:rsidP="00766599">
      <w:pPr>
        <w:pStyle w:val="ListBullet2"/>
      </w:pPr>
      <w:r w:rsidRPr="00766599">
        <w:t>prosthetics</w:t>
      </w:r>
    </w:p>
    <w:p w:rsidR="00000000" w:rsidRPr="00766599" w:rsidP="00766599">
      <w:pPr>
        <w:pStyle w:val="ListBullet2"/>
      </w:pPr>
      <w:r w:rsidRPr="00766599">
        <w:t xml:space="preserve">progressive notes of a de-identified person’s medical history </w:t>
      </w:r>
    </w:p>
    <w:p w:rsidR="00000000" w:rsidRPr="00766599" w:rsidP="00766599">
      <w:pPr>
        <w:pStyle w:val="ListBullet2"/>
      </w:pPr>
      <w:r w:rsidRPr="00766599">
        <w:t>organisation policy and</w:t>
      </w:r>
      <w:r w:rsidRPr="00766599">
        <w:t xml:space="preserve"> procedures on which the candidate bases the planning</w:t>
      </w:r>
    </w:p>
    <w:p w:rsidR="00000000" w:rsidRPr="00766599" w:rsidP="00766599">
      <w:pPr>
        <w:pStyle w:val="ListBullet"/>
      </w:pPr>
      <w:r w:rsidRPr="00766599">
        <w:t>modelling of industry operating conditions including access to real people for simulations and scenarios in enrolled nursing work.</w:t>
      </w:r>
    </w:p>
    <w:p w:rsidR="00000000" w:rsidRPr="00766599" w:rsidP="002A0BE4">
      <w:pPr>
        <w:pStyle w:val="BodyText"/>
      </w:pPr>
      <w:r w:rsidRPr="00766599">
        <w:t>Assessors must satisfy the Standards for Registered Training Organisat</w:t>
      </w:r>
      <w:r w:rsidRPr="00766599">
        <w:t>ions (RTOs) 2015/AQTF mandatory competency requirements for assessors.</w:t>
      </w:r>
      <w:r w:rsidRPr="00766599">
        <w:rPr>
          <w:rStyle w:val="SpecialBold"/>
        </w:rPr>
        <w:tab/>
      </w:r>
    </w:p>
    <w:p w:rsidR="00000000" w:rsidRPr="00766599" w:rsidP="002A0BE4">
      <w:pPr>
        <w:pStyle w:val="BodyText"/>
      </w:pPr>
      <w:r w:rsidRPr="00766599">
        <w:t xml:space="preserve">In addition, assessors must hold current registration as a Registered Nurse with Nursing and Midwifery Board of Australia. </w:t>
      </w:r>
    </w:p>
    <w:p w:rsidR="00000000" w:rsidRPr="00766599" w:rsidP="00766599">
      <w:pPr>
        <w:pStyle w:val="Heading1"/>
      </w:pPr>
      <w:bookmarkStart w:id="5" w:name="O_820849"/>
      <w:bookmarkEnd w:id="5"/>
      <w:r w:rsidRPr="00766599">
        <w:t>Links</w:t>
      </w:r>
    </w:p>
    <w:p w:rsidR="00000000" w:rsidRPr="00766599" w:rsidP="002A0BE4">
      <w:pPr>
        <w:pStyle w:val="BodyText"/>
      </w:pPr>
      <w:r w:rsidRPr="00766599">
        <w:t>Companion Volume implementation guid</w:t>
      </w:r>
      <w:r w:rsidRPr="00766599">
        <w:t xml:space="preserve">es are found in VETNet - </w:t>
      </w:r>
      <w:r>
        <w:fldChar w:fldCharType="begin"/>
      </w:r>
      <w:r>
        <w:instrText xml:space="preserve"> HYPERLINK "https://vetnet.gov.au/Pages/TrainingDocs.aspx?q=ced1390f-48d9-4ab0-bd50-b015e5485705" </w:instrText>
      </w:r>
      <w:r>
        <w:fldChar w:fldCharType="separate"/>
      </w:r>
      <w:r w:rsidRPr="002271F3">
        <w:rPr>
          <w:rStyle w:val="Hyperlink"/>
        </w:rPr>
        <w:t>https://vetnet.gov.au/Pages/TrainingDocs.aspx?q=ced1390f-48d9-4ab0-bd50-b015e5485705</w:t>
      </w:r>
      <w:r>
        <w:fldChar w:fldCharType="end"/>
      </w:r>
    </w:p>
    <w:p w:rsidR="00000000" w:rsidRPr="00766599" w:rsidP="00766599"/>
    <w:sectPr w:rsidSect="00766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99" w:rsidRPr="002A0BE4" w:rsidP="002A0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E4" w:rsidP="00766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BE4" w:rsidP="0076659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2A0BE4" w:rsidP="00766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599" w:rsidRPr="002A0BE4" w:rsidP="002A0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E4" w:rsidRPr="002D2AF8" w:rsidP="00766599">
    <w:pPr>
      <w:pStyle w:val="Header"/>
      <w:framePr w:wrap="around"/>
    </w:pPr>
    <w:r>
      <w:fldChar w:fldCharType="begin"/>
    </w:r>
    <w:r>
      <w:instrText xml:space="preserve"> TITLE   \* MERGEFORMAT </w:instrText>
    </w:r>
    <w:r>
      <w:fldChar w:fldCharType="separate"/>
    </w:r>
    <w:r>
      <w:t>Assessment Requirements for HLTENN017 Apply nursing practice in the orthopaedic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2A0BE4" w:rsidP="00766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A3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A2C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006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599"/>
    <w:pPr>
      <w:spacing w:before="360" w:after="60"/>
      <w:outlineLvl w:val="0"/>
    </w:pPr>
    <w:rPr>
      <w:sz w:val="32"/>
    </w:rPr>
  </w:style>
  <w:style w:type="paragraph" w:styleId="Heading2">
    <w:name w:val="heading 2"/>
    <w:basedOn w:val="HeadingBase"/>
    <w:next w:val="BodyText"/>
    <w:link w:val="Heading2Char"/>
    <w:qFormat/>
    <w:rsid w:val="00766599"/>
    <w:pPr>
      <w:keepLines/>
      <w:spacing w:before="240" w:after="120"/>
      <w:outlineLvl w:val="1"/>
    </w:pPr>
    <w:rPr>
      <w:sz w:val="28"/>
      <w:szCs w:val="40"/>
    </w:rPr>
  </w:style>
  <w:style w:type="paragraph" w:styleId="Heading3">
    <w:name w:val="heading 3"/>
    <w:basedOn w:val="HeadingBase"/>
    <w:next w:val="BodyText"/>
    <w:link w:val="Heading3Char"/>
    <w:qFormat/>
    <w:rsid w:val="00766599"/>
    <w:pPr>
      <w:spacing w:before="180" w:after="120"/>
      <w:outlineLvl w:val="2"/>
    </w:pPr>
    <w:rPr>
      <w:spacing w:val="-10"/>
      <w:kern w:val="32"/>
    </w:rPr>
  </w:style>
  <w:style w:type="paragraph" w:styleId="Heading4">
    <w:name w:val="heading 4"/>
    <w:basedOn w:val="HeadingBase"/>
    <w:next w:val="BodyText"/>
    <w:link w:val="Heading4Char"/>
    <w:qFormat/>
    <w:rsid w:val="00766599"/>
    <w:pPr>
      <w:spacing w:before="160" w:after="120"/>
      <w:outlineLvl w:val="3"/>
    </w:pPr>
    <w:rPr>
      <w:sz w:val="22"/>
    </w:rPr>
  </w:style>
  <w:style w:type="paragraph" w:styleId="Heading5">
    <w:name w:val="heading 5"/>
    <w:basedOn w:val="HeadingBase"/>
    <w:next w:val="Normal"/>
    <w:link w:val="Heading5Char"/>
    <w:qFormat/>
    <w:rsid w:val="00766599"/>
    <w:pPr>
      <w:spacing w:before="80"/>
      <w:outlineLvl w:val="4"/>
    </w:pPr>
    <w:rPr>
      <w:color w:val="918585"/>
      <w:sz w:val="20"/>
    </w:rPr>
  </w:style>
  <w:style w:type="paragraph" w:styleId="Heading6">
    <w:name w:val="heading 6"/>
    <w:basedOn w:val="HeadingBase"/>
    <w:next w:val="Normal"/>
    <w:link w:val="Heading6Char"/>
    <w:qFormat/>
    <w:rsid w:val="00766599"/>
    <w:pPr>
      <w:spacing w:before="60"/>
      <w:outlineLvl w:val="5"/>
    </w:pPr>
    <w:rPr>
      <w:color w:val="918585"/>
      <w:sz w:val="20"/>
    </w:rPr>
  </w:style>
  <w:style w:type="paragraph" w:styleId="Heading7">
    <w:name w:val="heading 7"/>
    <w:basedOn w:val="Normal"/>
    <w:next w:val="Normal"/>
    <w:link w:val="Heading7Char"/>
    <w:qFormat/>
    <w:rsid w:val="00766599"/>
    <w:pPr>
      <w:ind w:left="720"/>
      <w:outlineLvl w:val="6"/>
    </w:pPr>
    <w:rPr>
      <w:i/>
    </w:rPr>
  </w:style>
  <w:style w:type="paragraph" w:styleId="Heading8">
    <w:name w:val="heading 8"/>
    <w:basedOn w:val="Normal"/>
    <w:next w:val="Normal"/>
    <w:link w:val="Heading8Char"/>
    <w:qFormat/>
    <w:rsid w:val="00766599"/>
    <w:pPr>
      <w:ind w:left="720"/>
      <w:outlineLvl w:val="7"/>
    </w:pPr>
    <w:rPr>
      <w:i/>
    </w:rPr>
  </w:style>
  <w:style w:type="paragraph" w:styleId="Heading9">
    <w:name w:val="heading 9"/>
    <w:basedOn w:val="Normal"/>
    <w:next w:val="Normal"/>
    <w:link w:val="Heading9Char"/>
    <w:qFormat/>
    <w:rsid w:val="00766599"/>
    <w:pPr>
      <w:ind w:left="720"/>
      <w:outlineLvl w:val="8"/>
    </w:pPr>
    <w:rPr>
      <w:i/>
    </w:rPr>
  </w:style>
  <w:style w:type="character" w:default="1" w:styleId="DefaultParagraphFont">
    <w:name w:val="Default Paragraph Font"/>
    <w:uiPriority w:val="1"/>
    <w:unhideWhenUsed/>
    <w:rsid w:val="00766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599"/>
  </w:style>
  <w:style w:type="character" w:customStyle="1" w:styleId="Heading1Char">
    <w:name w:val="Heading 1 Char"/>
    <w:basedOn w:val="DefaultParagraphFont"/>
    <w:link w:val="Heading1"/>
    <w:rsid w:val="00766599"/>
    <w:rPr>
      <w:rFonts w:ascii="Times New Roman" w:eastAsia="Times New Roman" w:hAnsi="Times New Roman" w:cs="Times New Roman"/>
      <w:b/>
      <w:sz w:val="32"/>
      <w:szCs w:val="20"/>
      <w:lang w:eastAsia="en-US"/>
    </w:rPr>
  </w:style>
  <w:style w:type="paragraph" w:styleId="BodyText">
    <w:name w:val="Body Text"/>
    <w:basedOn w:val="Normal"/>
    <w:link w:val="BodyTextChar"/>
    <w:rsid w:val="007665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599"/>
    <w:rPr>
      <w:rFonts w:ascii="Times New Roman" w:eastAsia="Times New Roman" w:hAnsi="Times New Roman" w:cs="Times New Roman"/>
      <w:sz w:val="24"/>
      <w:lang w:eastAsia="en-US"/>
    </w:rPr>
  </w:style>
  <w:style w:type="paragraph" w:styleId="ListBullet">
    <w:name w:val="List Bullet"/>
    <w:basedOn w:val="List"/>
    <w:rsid w:val="00766599"/>
    <w:pPr>
      <w:numPr>
        <w:numId w:val="13"/>
      </w:numPr>
      <w:tabs>
        <w:tab w:val="clear" w:pos="340"/>
      </w:tabs>
      <w:spacing w:before="40" w:after="40"/>
    </w:pPr>
  </w:style>
  <w:style w:type="character" w:customStyle="1" w:styleId="SpecialBold">
    <w:name w:val="Special Bold"/>
    <w:basedOn w:val="DefaultParagraphFont"/>
    <w:rsid w:val="00766599"/>
    <w:rPr>
      <w:b/>
      <w:spacing w:val="0"/>
    </w:rPr>
  </w:style>
  <w:style w:type="paragraph" w:styleId="ListBullet2">
    <w:name w:val="List Bullet 2"/>
    <w:basedOn w:val="List2"/>
    <w:rsid w:val="00766599"/>
    <w:pPr>
      <w:numPr>
        <w:numId w:val="14"/>
      </w:numPr>
      <w:tabs>
        <w:tab w:val="clear" w:pos="680"/>
      </w:tabs>
    </w:pPr>
  </w:style>
  <w:style w:type="character" w:styleId="Emphasis">
    <w:name w:val="Emphasis"/>
    <w:basedOn w:val="DefaultParagraphFont"/>
    <w:qFormat/>
    <w:rsid w:val="00766599"/>
    <w:rPr>
      <w:i/>
    </w:rPr>
  </w:style>
  <w:style w:type="paragraph" w:customStyle="1" w:styleId="SuperHeading">
    <w:name w:val="SuperHeading"/>
    <w:basedOn w:val="Normal"/>
    <w:rsid w:val="00766599"/>
    <w:pPr>
      <w:spacing w:before="240" w:after="120"/>
      <w:outlineLvl w:val="0"/>
    </w:pPr>
    <w:rPr>
      <w:rFonts w:ascii="Times New Roman" w:hAnsi="Times New Roman"/>
      <w:b/>
      <w:sz w:val="32"/>
    </w:rPr>
  </w:style>
  <w:style w:type="paragraph" w:customStyle="1" w:styleId="AllowPageBreak">
    <w:name w:val="AllowPageBreak"/>
    <w:rsid w:val="007665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6599"/>
    <w:pPr>
      <w:numPr>
        <w:numId w:val="3"/>
      </w:numPr>
      <w:tabs>
        <w:tab w:val="clear" w:pos="1021"/>
      </w:tabs>
      <w:ind w:left="1037" w:hanging="357"/>
    </w:pPr>
  </w:style>
  <w:style w:type="character" w:customStyle="1" w:styleId="Heading2Char">
    <w:name w:val="Heading 2 Char"/>
    <w:basedOn w:val="DefaultParagraphFont"/>
    <w:link w:val="Heading2"/>
    <w:rsid w:val="00766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599"/>
    <w:rPr>
      <w:rFonts w:ascii="Courier New" w:eastAsia="Times New Roman" w:hAnsi="Courier New" w:cs="Times New Roman"/>
      <w:i/>
      <w:szCs w:val="20"/>
      <w:lang w:eastAsia="en-US"/>
    </w:rPr>
  </w:style>
  <w:style w:type="paragraph" w:customStyle="1" w:styleId="HeadingBase">
    <w:name w:val="Heading Base"/>
    <w:rsid w:val="00766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599"/>
    <w:pPr>
      <w:tabs>
        <w:tab w:val="right" w:leader="dot" w:pos="9072"/>
      </w:tabs>
      <w:ind w:left="567"/>
    </w:pPr>
    <w:rPr>
      <w:szCs w:val="22"/>
    </w:rPr>
  </w:style>
  <w:style w:type="paragraph" w:customStyle="1" w:styleId="TOCBase">
    <w:name w:val="TOC Base"/>
    <w:rsid w:val="00766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599"/>
    <w:pPr>
      <w:tabs>
        <w:tab w:val="right" w:leader="dot" w:pos="9072"/>
      </w:tabs>
      <w:spacing w:before="40" w:after="40"/>
      <w:ind w:left="284"/>
    </w:pPr>
    <w:rPr>
      <w:rFonts w:ascii="Times New Roman" w:hAnsi="Times New Roman"/>
    </w:rPr>
  </w:style>
  <w:style w:type="paragraph" w:styleId="TOC1">
    <w:name w:val="toc 1"/>
    <w:basedOn w:val="TOCBase"/>
    <w:next w:val="Normal"/>
    <w:rsid w:val="00766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599"/>
    <w:rPr>
      <w:rFonts w:ascii="Times New Roman" w:eastAsia="Times New Roman" w:hAnsi="Times New Roman" w:cs="Times New Roman"/>
      <w:sz w:val="16"/>
      <w:lang w:eastAsia="en-US"/>
    </w:rPr>
  </w:style>
  <w:style w:type="paragraph" w:styleId="Title">
    <w:name w:val="Title"/>
    <w:basedOn w:val="HeadingBase"/>
    <w:link w:val="TitleChar"/>
    <w:qFormat/>
    <w:rsid w:val="00766599"/>
    <w:pPr>
      <w:spacing w:before="5040"/>
      <w:jc w:val="center"/>
    </w:pPr>
    <w:rPr>
      <w:sz w:val="48"/>
      <w:szCs w:val="72"/>
      <w:lang w:val="en-US"/>
    </w:rPr>
  </w:style>
  <w:style w:type="character" w:customStyle="1" w:styleId="TitleChar">
    <w:name w:val="Title Char"/>
    <w:basedOn w:val="DefaultParagraphFont"/>
    <w:link w:val="Title"/>
    <w:rsid w:val="00766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599"/>
    <w:pPr>
      <w:tabs>
        <w:tab w:val="left" w:pos="3600"/>
        <w:tab w:val="left" w:pos="3958"/>
      </w:tabs>
    </w:pPr>
  </w:style>
  <w:style w:type="paragraph" w:styleId="List">
    <w:name w:val="List"/>
    <w:basedOn w:val="BodyText"/>
    <w:next w:val="BodyText"/>
    <w:rsid w:val="00766599"/>
    <w:pPr>
      <w:tabs>
        <w:tab w:val="left" w:pos="340"/>
      </w:tabs>
      <w:spacing w:before="60" w:after="60"/>
      <w:ind w:left="340" w:hanging="340"/>
    </w:pPr>
  </w:style>
  <w:style w:type="paragraph" w:customStyle="1" w:styleId="Note">
    <w:name w:val="Note"/>
    <w:basedOn w:val="BodyText"/>
    <w:rsid w:val="00766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599"/>
    <w:pPr>
      <w:framePr w:wrap="auto" w:hAnchor="text" w:y="6049"/>
    </w:pPr>
    <w:rPr>
      <w:color w:val="000000"/>
      <w:sz w:val="40"/>
    </w:rPr>
  </w:style>
  <w:style w:type="paragraph" w:customStyle="1" w:styleId="TOCTitle">
    <w:name w:val="TOCTitle"/>
    <w:basedOn w:val="Heading1"/>
    <w:rsid w:val="00766599"/>
    <w:pPr>
      <w:spacing w:after="240"/>
      <w:jc w:val="center"/>
      <w:outlineLvl w:val="9"/>
    </w:pPr>
    <w:rPr>
      <w:caps/>
    </w:rPr>
  </w:style>
  <w:style w:type="paragraph" w:customStyle="1" w:styleId="Version">
    <w:name w:val="Version"/>
    <w:rsid w:val="00766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599"/>
    <w:pPr>
      <w:keepNext w:val="0"/>
      <w:tabs>
        <w:tab w:val="right" w:pos="4176"/>
      </w:tabs>
      <w:ind w:left="198" w:hanging="198"/>
    </w:pPr>
    <w:rPr>
      <w:rFonts w:ascii="Garamond" w:hAnsi="Garamond"/>
    </w:rPr>
  </w:style>
  <w:style w:type="paragraph" w:styleId="IndexHeading">
    <w:name w:val="index heading"/>
    <w:basedOn w:val="Normal"/>
    <w:next w:val="Index1"/>
    <w:semiHidden/>
    <w:rsid w:val="00766599"/>
    <w:pPr>
      <w:spacing w:before="120" w:after="120"/>
    </w:pPr>
    <w:rPr>
      <w:rFonts w:ascii="Arial" w:hAnsi="Arial"/>
      <w:b/>
      <w:color w:val="918585"/>
      <w:sz w:val="24"/>
    </w:rPr>
  </w:style>
  <w:style w:type="paragraph" w:styleId="Header">
    <w:name w:val="header"/>
    <w:basedOn w:val="Normal"/>
    <w:link w:val="HeaderChar"/>
    <w:rsid w:val="00766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599"/>
    <w:rPr>
      <w:rFonts w:ascii="Times New Roman" w:eastAsia="Times New Roman" w:hAnsi="Times New Roman" w:cs="Times New Roman"/>
      <w:sz w:val="16"/>
      <w:szCs w:val="20"/>
      <w:lang w:val="en-GB" w:eastAsia="en-US"/>
    </w:rPr>
  </w:style>
  <w:style w:type="paragraph" w:customStyle="1" w:styleId="Chapter">
    <w:name w:val="Chapter"/>
    <w:basedOn w:val="Normal"/>
    <w:rsid w:val="00766599"/>
    <w:pPr>
      <w:spacing w:before="240"/>
    </w:pPr>
    <w:rPr>
      <w:rFonts w:ascii="Times New Roman" w:hAnsi="Times New Roman"/>
      <w:smallCaps/>
      <w:spacing w:val="80"/>
      <w:sz w:val="28"/>
    </w:rPr>
  </w:style>
  <w:style w:type="paragraph" w:customStyle="1" w:styleId="InChapter">
    <w:name w:val="InChapter"/>
    <w:basedOn w:val="Heading3"/>
    <w:rsid w:val="00766599"/>
    <w:pPr>
      <w:spacing w:after="240"/>
      <w:outlineLvl w:val="9"/>
    </w:pPr>
    <w:rPr>
      <w:noProof/>
    </w:rPr>
  </w:style>
  <w:style w:type="paragraph" w:styleId="Index2">
    <w:name w:val="index 2"/>
    <w:basedOn w:val="Normal"/>
    <w:next w:val="Normal"/>
    <w:semiHidden/>
    <w:rsid w:val="00766599"/>
    <w:pPr>
      <w:tabs>
        <w:tab w:val="right" w:pos="4176"/>
      </w:tabs>
      <w:ind w:left="568" w:hanging="284"/>
    </w:pPr>
    <w:rPr>
      <w:rFonts w:ascii="Garamond" w:hAnsi="Garamond"/>
    </w:rPr>
  </w:style>
  <w:style w:type="paragraph" w:customStyle="1" w:styleId="Byline">
    <w:name w:val="Byline"/>
    <w:rsid w:val="00766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599"/>
    <w:pPr>
      <w:tabs>
        <w:tab w:val="clear" w:pos="3600"/>
        <w:tab w:val="clear" w:pos="3958"/>
      </w:tabs>
      <w:jc w:val="right"/>
    </w:pPr>
  </w:style>
  <w:style w:type="paragraph" w:styleId="Caption">
    <w:name w:val="caption"/>
    <w:basedOn w:val="BodyText"/>
    <w:next w:val="Normal"/>
    <w:qFormat/>
    <w:rsid w:val="00766599"/>
    <w:pPr>
      <w:framePr w:w="2268" w:hSpace="181" w:vSpace="181" w:wrap="around" w:vAnchor="text" w:hAnchor="page" w:x="1135" w:y="285" w:anchorLock="1"/>
    </w:pPr>
    <w:rPr>
      <w:i/>
    </w:rPr>
  </w:style>
  <w:style w:type="paragraph" w:customStyle="1" w:styleId="MiniTOCTitle">
    <w:name w:val="MiniTOCTitle"/>
    <w:basedOn w:val="Heading4"/>
    <w:rsid w:val="00766599"/>
    <w:pPr>
      <w:spacing w:before="240"/>
      <w:outlineLvl w:val="9"/>
    </w:pPr>
    <w:rPr>
      <w:noProof/>
      <w:sz w:val="24"/>
    </w:rPr>
  </w:style>
  <w:style w:type="paragraph" w:customStyle="1" w:styleId="MiniTOCItem">
    <w:name w:val="MiniTOCItem"/>
    <w:basedOn w:val="ListBullet"/>
    <w:rsid w:val="00766599"/>
    <w:pPr>
      <w:numPr>
        <w:numId w:val="0"/>
      </w:numPr>
      <w:tabs>
        <w:tab w:val="right" w:leader="dot" w:pos="6521"/>
      </w:tabs>
      <w:spacing w:before="0" w:after="0"/>
    </w:pPr>
  </w:style>
  <w:style w:type="paragraph" w:customStyle="1" w:styleId="TOFTitle">
    <w:name w:val="TOFTitle"/>
    <w:basedOn w:val="TOCTitle"/>
    <w:rsid w:val="00766599"/>
  </w:style>
  <w:style w:type="paragraph" w:styleId="TableofFigures">
    <w:name w:val="table of figures"/>
    <w:basedOn w:val="Normal"/>
    <w:next w:val="Normal"/>
    <w:semiHidden/>
    <w:rsid w:val="00766599"/>
    <w:pPr>
      <w:tabs>
        <w:tab w:val="right" w:leader="dot" w:pos="9072"/>
      </w:tabs>
      <w:ind w:left="970" w:hanging="403"/>
    </w:pPr>
    <w:rPr>
      <w:rFonts w:ascii="Times New Roman" w:hAnsi="Times New Roman"/>
      <w:b/>
    </w:rPr>
  </w:style>
  <w:style w:type="paragraph" w:styleId="ListNumber">
    <w:name w:val="List Number"/>
    <w:basedOn w:val="List"/>
    <w:rsid w:val="00766599"/>
    <w:pPr>
      <w:numPr>
        <w:numId w:val="16"/>
      </w:numPr>
      <w:tabs>
        <w:tab w:val="clear" w:pos="340"/>
      </w:tabs>
    </w:pPr>
  </w:style>
  <w:style w:type="character" w:customStyle="1" w:styleId="WingdingSymbols">
    <w:name w:val="Wingding Symbols"/>
    <w:rsid w:val="00766599"/>
    <w:rPr>
      <w:rFonts w:ascii="Wingdings" w:hAnsi="Wingdings"/>
    </w:rPr>
  </w:style>
  <w:style w:type="paragraph" w:customStyle="1" w:styleId="TableHeading">
    <w:name w:val="Table Heading"/>
    <w:basedOn w:val="HeadingBase"/>
    <w:rsid w:val="00766599"/>
    <w:pPr>
      <w:keepLines/>
      <w:pBdr>
        <w:bottom w:val="single" w:sz="6" w:space="1" w:color="918585"/>
      </w:pBdr>
      <w:spacing w:before="240"/>
    </w:pPr>
  </w:style>
  <w:style w:type="character" w:customStyle="1" w:styleId="HotSpot">
    <w:name w:val="HotSpot"/>
    <w:rsid w:val="00766599"/>
    <w:rPr>
      <w:color w:val="0033CC"/>
      <w:u w:val="none"/>
    </w:rPr>
  </w:style>
  <w:style w:type="paragraph" w:customStyle="1" w:styleId="BodyTextRight">
    <w:name w:val="Body Text Right"/>
    <w:basedOn w:val="BodyText"/>
    <w:rsid w:val="00766599"/>
    <w:pPr>
      <w:spacing w:before="0" w:after="0"/>
      <w:jc w:val="right"/>
    </w:pPr>
  </w:style>
  <w:style w:type="paragraph" w:styleId="Index3">
    <w:name w:val="index 3"/>
    <w:basedOn w:val="ListNumber2"/>
    <w:next w:val="Normal"/>
    <w:semiHidden/>
    <w:rsid w:val="00766599"/>
    <w:pPr>
      <w:numPr>
        <w:numId w:val="0"/>
      </w:numPr>
      <w:tabs>
        <w:tab w:val="right" w:leader="dot" w:pos="4176"/>
      </w:tabs>
    </w:pPr>
  </w:style>
  <w:style w:type="paragraph" w:styleId="ListNumber2">
    <w:name w:val="List Number 2"/>
    <w:basedOn w:val="List2"/>
    <w:rsid w:val="00766599"/>
    <w:pPr>
      <w:numPr>
        <w:numId w:val="11"/>
      </w:numPr>
      <w:tabs>
        <w:tab w:val="clear" w:pos="1060"/>
      </w:tabs>
    </w:pPr>
  </w:style>
  <w:style w:type="paragraph" w:customStyle="1" w:styleId="MarginNote">
    <w:name w:val="Margin Note"/>
    <w:basedOn w:val="BodyText"/>
    <w:rsid w:val="00766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599"/>
    <w:rPr>
      <w:sz w:val="32"/>
    </w:rPr>
  </w:style>
  <w:style w:type="paragraph" w:customStyle="1" w:styleId="HeadingProcedure">
    <w:name w:val="Heading Procedure"/>
    <w:basedOn w:val="HeadingBase"/>
    <w:next w:val="Normal"/>
    <w:rsid w:val="00766599"/>
    <w:pPr>
      <w:tabs>
        <w:tab w:val="left" w:pos="0"/>
      </w:tabs>
      <w:spacing w:before="120" w:after="60"/>
    </w:pPr>
    <w:rPr>
      <w:i/>
      <w:color w:val="918585"/>
      <w:sz w:val="22"/>
    </w:rPr>
  </w:style>
  <w:style w:type="paragraph" w:customStyle="1" w:styleId="TableBodyText">
    <w:name w:val="Table Body Text"/>
    <w:basedOn w:val="BodyText"/>
    <w:rsid w:val="00766599"/>
    <w:pPr>
      <w:spacing w:before="60" w:after="60"/>
    </w:pPr>
  </w:style>
  <w:style w:type="paragraph" w:styleId="ListContinue">
    <w:name w:val="List Continue"/>
    <w:basedOn w:val="List"/>
    <w:rsid w:val="00766599"/>
    <w:pPr>
      <w:ind w:firstLine="0"/>
    </w:pPr>
  </w:style>
  <w:style w:type="paragraph" w:customStyle="1" w:styleId="ListNote">
    <w:name w:val="List Note"/>
    <w:basedOn w:val="List"/>
    <w:rsid w:val="00766599"/>
    <w:pPr>
      <w:pBdr>
        <w:top w:val="single" w:sz="6" w:space="2" w:color="918585"/>
        <w:bottom w:val="single" w:sz="6" w:space="2" w:color="918585"/>
      </w:pBdr>
      <w:tabs>
        <w:tab w:val="left" w:pos="1021"/>
      </w:tabs>
      <w:ind w:firstLine="0"/>
    </w:pPr>
  </w:style>
  <w:style w:type="paragraph" w:customStyle="1" w:styleId="Warning">
    <w:name w:val="Warning"/>
    <w:basedOn w:val="BodyText"/>
    <w:rsid w:val="00766599"/>
    <w:pPr>
      <w:shd w:val="clear" w:color="auto" w:fill="D9D9D9"/>
      <w:tabs>
        <w:tab w:val="left" w:pos="992"/>
      </w:tabs>
      <w:ind w:left="119" w:right="119"/>
    </w:pPr>
    <w:rPr>
      <w:sz w:val="20"/>
    </w:rPr>
  </w:style>
  <w:style w:type="paragraph" w:customStyle="1" w:styleId="MarginIcons">
    <w:name w:val="Margin Icons"/>
    <w:basedOn w:val="BodyText"/>
    <w:rsid w:val="00766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599"/>
    <w:rPr>
      <w:rFonts w:ascii="Courier New" w:hAnsi="Courier New"/>
    </w:rPr>
  </w:style>
  <w:style w:type="paragraph" w:customStyle="1" w:styleId="NoteBullet">
    <w:name w:val="Note Bullet"/>
    <w:basedOn w:val="Note"/>
    <w:rsid w:val="00766599"/>
    <w:pPr>
      <w:tabs>
        <w:tab w:val="clear" w:pos="680"/>
      </w:tabs>
      <w:spacing w:before="60" w:after="60"/>
    </w:pPr>
  </w:style>
  <w:style w:type="paragraph" w:customStyle="1" w:styleId="SubHeading2">
    <w:name w:val="SubHeading2"/>
    <w:basedOn w:val="HeadingBase"/>
    <w:rsid w:val="00766599"/>
    <w:pPr>
      <w:spacing w:before="240" w:after="60"/>
    </w:pPr>
    <w:rPr>
      <w:sz w:val="20"/>
    </w:rPr>
  </w:style>
  <w:style w:type="paragraph" w:customStyle="1" w:styleId="SubHeading1">
    <w:name w:val="SubHeading1"/>
    <w:basedOn w:val="HeadingBase"/>
    <w:rsid w:val="00766599"/>
    <w:pPr>
      <w:spacing w:before="240" w:after="60"/>
    </w:pPr>
    <w:rPr>
      <w:color w:val="918585"/>
      <w:sz w:val="22"/>
    </w:rPr>
  </w:style>
  <w:style w:type="paragraph" w:customStyle="1" w:styleId="SideHeading">
    <w:name w:val="Side Heading"/>
    <w:basedOn w:val="HeadingBase"/>
    <w:rsid w:val="00766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599"/>
    <w:pPr>
      <w:numPr>
        <w:numId w:val="12"/>
      </w:numPr>
    </w:pPr>
  </w:style>
  <w:style w:type="paragraph" w:styleId="PlainText">
    <w:name w:val="Plain Text"/>
    <w:basedOn w:val="Normal"/>
    <w:link w:val="PlainTextChar"/>
    <w:rsid w:val="00766599"/>
    <w:rPr>
      <w:sz w:val="20"/>
    </w:rPr>
  </w:style>
  <w:style w:type="character" w:customStyle="1" w:styleId="PlainTextChar">
    <w:name w:val="Plain Text Char"/>
    <w:basedOn w:val="DefaultParagraphFont"/>
    <w:link w:val="PlainText"/>
    <w:rsid w:val="00766599"/>
    <w:rPr>
      <w:rFonts w:ascii="Courier New" w:eastAsia="Times New Roman" w:hAnsi="Courier New" w:cs="Times New Roman"/>
      <w:sz w:val="20"/>
      <w:szCs w:val="20"/>
      <w:lang w:eastAsia="en-US"/>
    </w:rPr>
  </w:style>
  <w:style w:type="character" w:customStyle="1" w:styleId="MenuOption">
    <w:name w:val="Menu Option"/>
    <w:basedOn w:val="DefaultParagraphFont"/>
    <w:rsid w:val="00766599"/>
    <w:rPr>
      <w:b/>
      <w:smallCaps/>
    </w:rPr>
  </w:style>
  <w:style w:type="paragraph" w:customStyle="1" w:styleId="TableListNumber">
    <w:name w:val="Table List Number"/>
    <w:basedOn w:val="ListNumber"/>
    <w:rsid w:val="00766599"/>
    <w:pPr>
      <w:numPr>
        <w:numId w:val="0"/>
      </w:numPr>
    </w:pPr>
  </w:style>
  <w:style w:type="paragraph" w:styleId="TOC4">
    <w:name w:val="toc 4"/>
    <w:basedOn w:val="TOCBase"/>
    <w:next w:val="Normal"/>
    <w:semiHidden/>
    <w:rsid w:val="00766599"/>
    <w:pPr>
      <w:tabs>
        <w:tab w:val="right" w:leader="dot" w:pos="9071"/>
      </w:tabs>
      <w:ind w:left="1701"/>
    </w:pPr>
  </w:style>
  <w:style w:type="paragraph" w:customStyle="1" w:styleId="ListAlpha">
    <w:name w:val="List Alpha"/>
    <w:basedOn w:val="List"/>
    <w:rsid w:val="00766599"/>
    <w:pPr>
      <w:numPr>
        <w:numId w:val="10"/>
      </w:numPr>
    </w:pPr>
  </w:style>
  <w:style w:type="paragraph" w:customStyle="1" w:styleId="ListAlpha2">
    <w:name w:val="List Alpha 2"/>
    <w:basedOn w:val="List2"/>
    <w:rsid w:val="00766599"/>
    <w:pPr>
      <w:numPr>
        <w:numId w:val="9"/>
      </w:numPr>
    </w:pPr>
  </w:style>
  <w:style w:type="paragraph" w:styleId="List2">
    <w:name w:val="List 2"/>
    <w:basedOn w:val="BodyText"/>
    <w:rsid w:val="00766599"/>
    <w:pPr>
      <w:tabs>
        <w:tab w:val="left" w:pos="680"/>
      </w:tabs>
      <w:spacing w:before="60" w:after="60"/>
      <w:ind w:left="680" w:hanging="340"/>
    </w:pPr>
  </w:style>
  <w:style w:type="paragraph" w:styleId="List3">
    <w:name w:val="List 3"/>
    <w:basedOn w:val="BodyText"/>
    <w:rsid w:val="00766599"/>
    <w:pPr>
      <w:tabs>
        <w:tab w:val="left" w:pos="1021"/>
      </w:tabs>
      <w:spacing w:before="60" w:after="60"/>
      <w:ind w:left="1020" w:hanging="340"/>
    </w:pPr>
  </w:style>
  <w:style w:type="paragraph" w:styleId="List4">
    <w:name w:val="List 4"/>
    <w:basedOn w:val="BodyText"/>
    <w:rsid w:val="00766599"/>
    <w:pPr>
      <w:tabs>
        <w:tab w:val="left" w:pos="1361"/>
      </w:tabs>
      <w:spacing w:before="60" w:after="60"/>
      <w:ind w:left="1361" w:hanging="340"/>
    </w:pPr>
  </w:style>
  <w:style w:type="paragraph" w:styleId="List5">
    <w:name w:val="List 5"/>
    <w:basedOn w:val="BodyText"/>
    <w:rsid w:val="00766599"/>
    <w:pPr>
      <w:tabs>
        <w:tab w:val="left" w:pos="1701"/>
      </w:tabs>
      <w:spacing w:before="60" w:after="60"/>
      <w:ind w:left="1701" w:hanging="340"/>
    </w:pPr>
  </w:style>
  <w:style w:type="paragraph" w:styleId="ListBullet4">
    <w:name w:val="List Bullet 4"/>
    <w:basedOn w:val="List4"/>
    <w:rsid w:val="00766599"/>
    <w:pPr>
      <w:numPr>
        <w:numId w:val="4"/>
      </w:numPr>
      <w:tabs>
        <w:tab w:val="clear" w:pos="1361"/>
      </w:tabs>
    </w:pPr>
  </w:style>
  <w:style w:type="paragraph" w:styleId="ListBullet5">
    <w:name w:val="List Bullet 5"/>
    <w:basedOn w:val="List5"/>
    <w:rsid w:val="00766599"/>
    <w:pPr>
      <w:numPr>
        <w:numId w:val="5"/>
      </w:numPr>
    </w:pPr>
  </w:style>
  <w:style w:type="paragraph" w:styleId="ListContinue2">
    <w:name w:val="List Continue 2"/>
    <w:basedOn w:val="List2"/>
    <w:rsid w:val="00766599"/>
    <w:pPr>
      <w:ind w:firstLine="0"/>
    </w:pPr>
  </w:style>
  <w:style w:type="paragraph" w:styleId="ListContinue3">
    <w:name w:val="List Continue 3"/>
    <w:basedOn w:val="List3"/>
    <w:rsid w:val="00766599"/>
    <w:pPr>
      <w:ind w:left="1021" w:firstLine="0"/>
    </w:pPr>
  </w:style>
  <w:style w:type="paragraph" w:styleId="ListContinue4">
    <w:name w:val="List Continue 4"/>
    <w:basedOn w:val="List4"/>
    <w:rsid w:val="00766599"/>
    <w:pPr>
      <w:ind w:firstLine="0"/>
    </w:pPr>
  </w:style>
  <w:style w:type="paragraph" w:styleId="ListContinue5">
    <w:name w:val="List Continue 5"/>
    <w:basedOn w:val="List5"/>
    <w:rsid w:val="00766599"/>
    <w:pPr>
      <w:ind w:firstLine="0"/>
    </w:pPr>
  </w:style>
  <w:style w:type="paragraph" w:styleId="ListNumber3">
    <w:name w:val="List Number 3"/>
    <w:basedOn w:val="List3"/>
    <w:rsid w:val="00766599"/>
    <w:pPr>
      <w:numPr>
        <w:numId w:val="6"/>
      </w:numPr>
    </w:pPr>
  </w:style>
  <w:style w:type="paragraph" w:styleId="ListNumber4">
    <w:name w:val="List Number 4"/>
    <w:basedOn w:val="List4"/>
    <w:rsid w:val="00766599"/>
    <w:pPr>
      <w:numPr>
        <w:numId w:val="7"/>
      </w:numPr>
    </w:pPr>
  </w:style>
  <w:style w:type="paragraph" w:styleId="ListNumber5">
    <w:name w:val="List Number 5"/>
    <w:basedOn w:val="List5"/>
    <w:rsid w:val="00766599"/>
    <w:pPr>
      <w:numPr>
        <w:numId w:val="8"/>
      </w:numPr>
    </w:pPr>
  </w:style>
  <w:style w:type="paragraph" w:styleId="BlockText">
    <w:name w:val="Block Text"/>
    <w:basedOn w:val="Normal"/>
    <w:rsid w:val="00766599"/>
    <w:pPr>
      <w:spacing w:after="120"/>
      <w:ind w:left="1440" w:right="1440"/>
    </w:pPr>
  </w:style>
  <w:style w:type="character" w:customStyle="1" w:styleId="Subscript">
    <w:name w:val="Subscript"/>
    <w:basedOn w:val="DefaultParagraphFont"/>
    <w:rsid w:val="00766599"/>
    <w:rPr>
      <w:sz w:val="16"/>
      <w:vertAlign w:val="subscript"/>
    </w:rPr>
  </w:style>
  <w:style w:type="character" w:customStyle="1" w:styleId="Superscript">
    <w:name w:val="Superscript"/>
    <w:basedOn w:val="DefaultParagraphFont"/>
    <w:rsid w:val="00766599"/>
    <w:rPr>
      <w:sz w:val="16"/>
      <w:vertAlign w:val="superscript"/>
    </w:rPr>
  </w:style>
  <w:style w:type="character" w:customStyle="1" w:styleId="Symbols">
    <w:name w:val="Symbols"/>
    <w:basedOn w:val="DefaultParagraphFont"/>
    <w:rsid w:val="00766599"/>
    <w:rPr>
      <w:rFonts w:ascii="Symbol" w:hAnsi="Symbol"/>
    </w:rPr>
  </w:style>
  <w:style w:type="character" w:customStyle="1" w:styleId="MenuOptions">
    <w:name w:val="Menu Options"/>
    <w:basedOn w:val="DefaultParagraphFont"/>
    <w:rsid w:val="00766599"/>
    <w:rPr>
      <w:rFonts w:ascii="Arial Narrow" w:hAnsi="Arial Narrow"/>
      <w:smallCaps/>
    </w:rPr>
  </w:style>
  <w:style w:type="character" w:customStyle="1" w:styleId="Buttons">
    <w:name w:val="Buttons"/>
    <w:basedOn w:val="DefaultParagraphFont"/>
    <w:rsid w:val="00766599"/>
    <w:rPr>
      <w:b/>
    </w:rPr>
  </w:style>
  <w:style w:type="character" w:customStyle="1" w:styleId="Underlined">
    <w:name w:val="Underlined"/>
    <w:basedOn w:val="DefaultParagraphFont"/>
    <w:rsid w:val="00766599"/>
    <w:rPr>
      <w:u w:val="single"/>
    </w:rPr>
  </w:style>
  <w:style w:type="paragraph" w:customStyle="1" w:styleId="TableBodyTextRight">
    <w:name w:val="Table Body Text Right"/>
    <w:basedOn w:val="TableBodyText"/>
    <w:rsid w:val="00766599"/>
    <w:pPr>
      <w:widowControl w:val="0"/>
      <w:autoSpaceDE w:val="0"/>
      <w:autoSpaceDN w:val="0"/>
      <w:adjustRightInd w:val="0"/>
      <w:jc w:val="right"/>
    </w:pPr>
    <w:rPr>
      <w:rFonts w:cs="Arial"/>
      <w:szCs w:val="18"/>
    </w:rPr>
  </w:style>
  <w:style w:type="paragraph" w:customStyle="1" w:styleId="CopyrightText">
    <w:name w:val="Copyright Text"/>
    <w:basedOn w:val="BodyText"/>
    <w:rsid w:val="00766599"/>
    <w:rPr>
      <w:sz w:val="18"/>
    </w:rPr>
  </w:style>
  <w:style w:type="paragraph" w:customStyle="1" w:styleId="BodySmallRight">
    <w:name w:val="Body Small Right"/>
    <w:basedOn w:val="BodyTextRight"/>
    <w:rsid w:val="00766599"/>
    <w:rPr>
      <w:sz w:val="18"/>
      <w:szCs w:val="18"/>
    </w:rPr>
  </w:style>
  <w:style w:type="paragraph" w:customStyle="1" w:styleId="MarginEdition">
    <w:name w:val="Margin Edition"/>
    <w:basedOn w:val="MarginNote"/>
    <w:rsid w:val="00766599"/>
    <w:pPr>
      <w:spacing w:before="0" w:after="0"/>
    </w:pPr>
    <w:rPr>
      <w:rFonts w:ascii="Times New Roman" w:hAnsi="Times New Roman"/>
      <w:color w:val="999999"/>
    </w:rPr>
  </w:style>
  <w:style w:type="paragraph" w:customStyle="1" w:styleId="Spacer">
    <w:name w:val="Spacer"/>
    <w:basedOn w:val="Normal"/>
    <w:rsid w:val="00766599"/>
    <w:rPr>
      <w:sz w:val="2"/>
      <w:szCs w:val="2"/>
    </w:rPr>
  </w:style>
  <w:style w:type="character" w:customStyle="1" w:styleId="Small">
    <w:name w:val="Small"/>
    <w:basedOn w:val="DefaultParagraphFont"/>
    <w:rsid w:val="00766599"/>
    <w:rPr>
      <w:sz w:val="16"/>
    </w:rPr>
  </w:style>
  <w:style w:type="paragraph" w:customStyle="1" w:styleId="WideTable">
    <w:name w:val="Wide Table"/>
    <w:basedOn w:val="Normal"/>
    <w:rsid w:val="00766599"/>
    <w:pPr>
      <w:ind w:left="-1418"/>
    </w:pPr>
    <w:rPr>
      <w:sz w:val="2"/>
      <w:szCs w:val="2"/>
    </w:rPr>
  </w:style>
  <w:style w:type="character" w:styleId="PageNumber">
    <w:name w:val="page number"/>
    <w:basedOn w:val="DefaultParagraphFont"/>
    <w:rsid w:val="00766599"/>
  </w:style>
  <w:style w:type="paragraph" w:styleId="Quote">
    <w:name w:val="Quote"/>
    <w:basedOn w:val="Heading1"/>
    <w:link w:val="QuoteChar"/>
    <w:qFormat/>
    <w:rsid w:val="00766599"/>
    <w:rPr>
      <w:b w:val="0"/>
      <w:sz w:val="72"/>
      <w:szCs w:val="72"/>
      <w:lang w:val="en-NZ"/>
    </w:rPr>
  </w:style>
  <w:style w:type="character" w:customStyle="1" w:styleId="QuoteChar">
    <w:name w:val="Quote Char"/>
    <w:basedOn w:val="DefaultParagraphFont"/>
    <w:link w:val="Quote"/>
    <w:rsid w:val="00766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599"/>
    <w:pPr>
      <w:pageBreakBefore/>
    </w:pPr>
  </w:style>
  <w:style w:type="paragraph" w:customStyle="1" w:styleId="Border">
    <w:name w:val="Border"/>
    <w:basedOn w:val="Normal"/>
    <w:qFormat/>
    <w:rsid w:val="00766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599"/>
    <w:rPr>
      <w:b/>
      <w:bCs/>
      <w:i/>
      <w:iCs/>
      <w:color w:val="auto"/>
    </w:rPr>
  </w:style>
  <w:style w:type="paragraph" w:styleId="IntenseQuote">
    <w:name w:val="Intense Quote"/>
    <w:basedOn w:val="Normal"/>
    <w:next w:val="Normal"/>
    <w:link w:val="IntenseQuoteChar"/>
    <w:uiPriority w:val="30"/>
    <w:qFormat/>
    <w:rsid w:val="00766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599"/>
    <w:rPr>
      <w:smallCaps/>
      <w:color w:val="auto"/>
      <w:u w:val="single"/>
    </w:rPr>
  </w:style>
  <w:style w:type="character" w:styleId="IntenseReference">
    <w:name w:val="Intense Reference"/>
    <w:basedOn w:val="DefaultParagraphFont"/>
    <w:uiPriority w:val="32"/>
    <w:qFormat/>
    <w:rsid w:val="00766599"/>
    <w:rPr>
      <w:b/>
      <w:bCs/>
      <w:smallCaps/>
      <w:color w:val="auto"/>
      <w:spacing w:val="5"/>
      <w:u w:val="single"/>
    </w:rPr>
  </w:style>
  <w:style w:type="paragraph" w:customStyle="1" w:styleId="2ColumnHeading">
    <w:name w:val="2Column Heading"/>
    <w:basedOn w:val="BodyText"/>
    <w:qFormat/>
    <w:rsid w:val="00766599"/>
    <w:pPr>
      <w:spacing w:after="60"/>
      <w:ind w:left="-2268"/>
    </w:pPr>
    <w:rPr>
      <w:b/>
    </w:rPr>
  </w:style>
  <w:style w:type="paragraph" w:customStyle="1" w:styleId="Heading1TOC">
    <w:name w:val="Heading1 TOC"/>
    <w:basedOn w:val="Normal"/>
    <w:qFormat/>
    <w:rsid w:val="00766599"/>
    <w:pPr>
      <w:spacing w:before="240" w:after="120"/>
    </w:pPr>
    <w:rPr>
      <w:rFonts w:ascii="Times New Roman" w:hAnsi="Times New Roman"/>
      <w:b/>
      <w:sz w:val="32"/>
    </w:rPr>
  </w:style>
  <w:style w:type="paragraph" w:customStyle="1" w:styleId="Heading2TOC">
    <w:name w:val="Heading2 TOC"/>
    <w:basedOn w:val="Normal"/>
    <w:qFormat/>
    <w:rsid w:val="00766599"/>
    <w:pPr>
      <w:spacing w:before="240" w:after="60"/>
    </w:pPr>
    <w:rPr>
      <w:rFonts w:ascii="Times New Roman" w:hAnsi="Times New Roman"/>
      <w:b/>
      <w:sz w:val="28"/>
    </w:rPr>
  </w:style>
  <w:style w:type="character" w:customStyle="1" w:styleId="Underline">
    <w:name w:val="Underline"/>
    <w:basedOn w:val="DefaultParagraphFont"/>
    <w:qFormat/>
    <w:rsid w:val="00766599"/>
    <w:rPr>
      <w:u w:val="single"/>
    </w:rPr>
  </w:style>
  <w:style w:type="character" w:customStyle="1" w:styleId="BoldandItalics">
    <w:name w:val="Bold and Italics"/>
    <w:qFormat/>
    <w:rsid w:val="00766599"/>
    <w:rPr>
      <w:b/>
      <w:i/>
      <w:u w:val="none"/>
    </w:rPr>
  </w:style>
  <w:style w:type="paragraph" w:styleId="BalloonText">
    <w:name w:val="Balloon Text"/>
    <w:basedOn w:val="Normal"/>
    <w:link w:val="BalloonTextChar"/>
    <w:rsid w:val="00766599"/>
    <w:rPr>
      <w:rFonts w:ascii="Tahoma" w:hAnsi="Tahoma" w:cs="Tahoma"/>
      <w:sz w:val="16"/>
      <w:szCs w:val="16"/>
    </w:rPr>
  </w:style>
  <w:style w:type="character" w:customStyle="1" w:styleId="BalloonTextChar">
    <w:name w:val="Balloon Text Char"/>
    <w:basedOn w:val="DefaultParagraphFont"/>
    <w:link w:val="BalloonText"/>
    <w:rsid w:val="00766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5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599"/>
    <w:rPr>
      <w:b/>
      <w:color w:val="660033"/>
      <w:spacing w:val="0"/>
    </w:rPr>
  </w:style>
  <w:style w:type="paragraph" w:customStyle="1" w:styleId="Nameditemlist">
    <w:name w:val="Named item list"/>
    <w:basedOn w:val="BodyText"/>
    <w:qFormat/>
    <w:rsid w:val="00766599"/>
    <w:pPr>
      <w:tabs>
        <w:tab w:val="left" w:pos="2835"/>
      </w:tabs>
      <w:ind w:left="2835" w:hanging="2835"/>
    </w:pPr>
  </w:style>
  <w:style w:type="paragraph" w:customStyle="1" w:styleId="BodyTextnopadding">
    <w:name w:val="Body Text no padding"/>
    <w:basedOn w:val="BodyText"/>
    <w:qFormat/>
    <w:rsid w:val="00766599"/>
    <w:pPr>
      <w:spacing w:before="0" w:after="0"/>
    </w:pPr>
  </w:style>
  <w:style w:type="paragraph" w:customStyle="1" w:styleId="BodyTextBold">
    <w:name w:val="Body Text Bold"/>
    <w:basedOn w:val="BodyText"/>
    <w:qFormat/>
    <w:rsid w:val="00766599"/>
    <w:rPr>
      <w:b/>
    </w:rPr>
  </w:style>
  <w:style w:type="character" w:styleId="Hyperlink">
    <w:name w:val="Hyperlink"/>
    <w:basedOn w:val="DefaultParagraphFont"/>
    <w:uiPriority w:val="99"/>
    <w:unhideWhenUsed/>
    <w:rsid w:val="002A0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5008</Characters>
  <Application>Microsoft Office Word</Application>
  <DocSecurity>0</DocSecurity>
  <Lines>143</Lines>
  <Paragraphs>117</Paragraphs>
  <ScaleCrop>false</ScaleCrop>
  <Company>Author-it Software Corporation Ltd.</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HLTENN017 Apply nursing practice in the orthopaedic care setting</dc:title>
  <dc:subject>Approved</dc:subject>
  <dc:creator>SkillsIQ</dc:creator>
  <cp:keywords>Release: 1</cp:keywords>
  <dc:description>Review Date: 12 April 2008</dc:description>
  <cp:lastModifiedBy>HSD_TPCMSd.prod</cp:lastModifiedBy>
  <cp:revision>3</cp:revision>
  <dcterms:created xsi:type="dcterms:W3CDTF">2021-03-18T06:35:00Z</dcterms:created>
  <dcterms:modified xsi:type="dcterms:W3CDTF">2021-03-18T06:35:00Z</dcterms:modified>
</cp:coreProperties>
</file>