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B62" w:rsidP="00980B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HLTENN011 Implement and monitor care for a person with acute health problems</w:t>
      </w:r>
      <w:r>
        <w:fldChar w:fldCharType="end"/>
      </w:r>
    </w:p>
    <w:p w:rsidR="00980B62" w:rsidP="00980B62">
      <w:pPr>
        <w:pStyle w:val="Version"/>
        <w:sectPr w:rsidSect="00F874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445" w:rsidP="00F87445">
      <w:pPr>
        <w:pStyle w:val="SuperHeading"/>
      </w:pPr>
      <w:r w:rsidRPr="00F87445">
        <w:t>Assessment Requirements for HLTENN011 Implement and monitor care for a person with acute health problems</w:t>
      </w:r>
    </w:p>
    <w:p w:rsidR="00000000" w:rsidRPr="00F87445" w:rsidP="00F87445">
      <w:pPr>
        <w:pStyle w:val="Heading1"/>
      </w:pPr>
      <w:bookmarkStart w:id="1" w:name="O_820729"/>
      <w:bookmarkEnd w:id="1"/>
      <w:r w:rsidRPr="00F874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445" w:rsidP="00F87445">
            <w:pPr>
              <w:pStyle w:val="BodyText"/>
            </w:pPr>
            <w:r w:rsidRPr="00F8744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445">
            <w:pPr>
              <w:pStyle w:val="BodyText"/>
              <w:rPr>
                <w:lang w:val="en-NZ"/>
              </w:rPr>
            </w:pPr>
            <w:r w:rsidRPr="00F87445">
              <w:rPr>
                <w:rStyle w:val="SpecialBold"/>
              </w:rPr>
              <w:t>Comments</w:t>
            </w:r>
          </w:p>
        </w:tc>
      </w:tr>
      <w:tr w:rsidTr="00F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445">
            <w:pPr>
              <w:pStyle w:val="BodyText"/>
              <w:rPr>
                <w:lang w:val="en-NZ"/>
              </w:rPr>
            </w:pPr>
            <w:r w:rsidRPr="00F8744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445" w:rsidP="00F87445">
            <w:pPr>
              <w:pStyle w:val="BodyText"/>
            </w:pPr>
            <w:r w:rsidRPr="00F87445">
              <w:t xml:space="preserve">This version was released in </w:t>
            </w:r>
            <w:r w:rsidRPr="00F87445">
              <w:rPr>
                <w:rStyle w:val="Emphasis"/>
              </w:rPr>
              <w:t>HLT Health Training Package release 3.0</w:t>
            </w:r>
            <w:r w:rsidRPr="00F87445">
              <w:t xml:space="preserve"> and meets the requirements of the 2012 Standards for Training Packages.</w:t>
            </w:r>
          </w:p>
          <w:p w:rsidR="00000000" w:rsidRPr="00F87445" w:rsidP="00F87445">
            <w:pPr>
              <w:pStyle w:val="BodyText"/>
            </w:pPr>
            <w:r w:rsidRPr="00F87445">
              <w:t>Significant changes to the elements and performance criteria. New evidence requirements for assessment, including volume and frequency requirements. Significant change to knowledge ev</w:t>
            </w:r>
            <w:r w:rsidRPr="00F87445">
              <w:t>idence.</w:t>
            </w:r>
          </w:p>
          <w:p w:rsidR="00000000" w:rsidRPr="00F87445" w:rsidP="00F87445">
            <w:pPr>
              <w:pStyle w:val="BodyText"/>
            </w:pPr>
            <w:r w:rsidRPr="00F87445">
              <w:t>Supersedes HLTEN512B</w:t>
            </w:r>
          </w:p>
        </w:tc>
      </w:tr>
    </w:tbl>
    <w:p w:rsidR="00000000" w:rsidRPr="00F87445" w:rsidP="00F87445">
      <w:pPr>
        <w:pStyle w:val="BodyText"/>
      </w:pPr>
    </w:p>
    <w:p w:rsidR="00000000" w:rsidRPr="00F87445" w:rsidP="00F87445">
      <w:pPr>
        <w:pStyle w:val="AllowPageBreak"/>
      </w:pPr>
    </w:p>
    <w:p w:rsidR="00000000" w:rsidRPr="00F87445" w:rsidP="00F87445">
      <w:pPr>
        <w:pStyle w:val="Heading1"/>
      </w:pPr>
      <w:bookmarkStart w:id="2" w:name="O_820730"/>
      <w:bookmarkEnd w:id="2"/>
      <w:r w:rsidRPr="00F87445">
        <w:t>Performance Evidence</w:t>
      </w:r>
    </w:p>
    <w:p w:rsidR="00000000" w:rsidRPr="00F87445" w:rsidP="00980B62">
      <w:pPr>
        <w:pStyle w:val="BodyText"/>
      </w:pPr>
      <w:r w:rsidRPr="00F87445">
        <w:t>The candidate must show evidence of the ability to complete tasks outlined in elements and performance criteria of this unit, manage tasks and manage contingencies in the context of the j</w:t>
      </w:r>
      <w:r w:rsidRPr="00F87445">
        <w:t>ob role. There must be evidence that the candidate has:</w:t>
      </w:r>
    </w:p>
    <w:p w:rsidR="00000000" w:rsidRPr="00F87445" w:rsidP="00F87445">
      <w:pPr>
        <w:pStyle w:val="ListBullet"/>
      </w:pPr>
      <w:r w:rsidRPr="00F87445">
        <w:t xml:space="preserve">undertaken nursing work in accordance with Nursing and Midwifery Board of Australia professional practice standards, codes and guidelines </w:t>
      </w:r>
    </w:p>
    <w:p w:rsidR="00000000" w:rsidRPr="00F87445" w:rsidP="00F87445">
      <w:pPr>
        <w:pStyle w:val="ListBullet"/>
      </w:pPr>
      <w:r w:rsidRPr="00F87445">
        <w:t>analysed health information and the clinical presentation of</w:t>
      </w:r>
      <w:r w:rsidRPr="00F87445">
        <w:t xml:space="preserve"> 1 person in the workplace or simulated environment to reach an accurate conclusion on possible health care planning and nursing interventions related to their acute health condition, in consultation with a registered nurse</w:t>
      </w:r>
    </w:p>
    <w:p w:rsidR="00000000" w:rsidRPr="00F87445" w:rsidP="00F87445">
      <w:pPr>
        <w:pStyle w:val="ListBullet"/>
      </w:pPr>
      <w:r w:rsidRPr="00F87445">
        <w:t>performed nursing interventions for 1 person undergoing a surgical procedure in the workplace, including pre-operative preparation and post-operative care</w:t>
      </w:r>
    </w:p>
    <w:p w:rsidR="00000000" w:rsidRPr="00F87445" w:rsidP="00F87445">
      <w:pPr>
        <w:pStyle w:val="ListBullet"/>
      </w:pPr>
      <w:r w:rsidRPr="00F87445">
        <w:t xml:space="preserve">implemented nursing interventions in the workplace or in a simulated environment specific to care of </w:t>
      </w:r>
      <w:r w:rsidRPr="00F87445">
        <w:t>1 person with acute health problems.</w:t>
      </w:r>
      <w:r w:rsidRPr="00F87445">
        <w:rPr>
          <w:rStyle w:val="SpecialBold"/>
        </w:rPr>
        <w:t xml:space="preserve"> </w:t>
      </w:r>
    </w:p>
    <w:p w:rsidR="00000000" w:rsidRPr="00F87445" w:rsidP="00F87445">
      <w:pPr>
        <w:pStyle w:val="AllowPageBreak"/>
      </w:pPr>
    </w:p>
    <w:p w:rsidR="00000000" w:rsidRPr="00F87445" w:rsidP="00F87445">
      <w:pPr>
        <w:pStyle w:val="Heading1"/>
      </w:pPr>
      <w:bookmarkStart w:id="3" w:name="O_820731"/>
      <w:bookmarkEnd w:id="3"/>
      <w:r w:rsidRPr="00F87445">
        <w:t>Knowledge Evidence</w:t>
      </w:r>
    </w:p>
    <w:p w:rsidR="00000000" w:rsidRPr="00F87445" w:rsidP="00980B62">
      <w:pPr>
        <w:pStyle w:val="BodyText"/>
      </w:pPr>
      <w:r w:rsidRPr="00F87445">
        <w:t>The candidate must be able to demonstrate essential knowledge required to effectively complete tasks outlined in elements and performance criteria of this unit, manage tasks and mana</w:t>
      </w:r>
      <w:r w:rsidRPr="00F87445">
        <w:t xml:space="preserve">ge contingencies in the context of the work role. This includes knowledge of: </w:t>
      </w:r>
    </w:p>
    <w:p w:rsidR="00000000" w:rsidRPr="00F87445" w:rsidP="00F87445">
      <w:pPr>
        <w:pStyle w:val="ListBullet"/>
      </w:pPr>
      <w:r w:rsidRPr="00F87445">
        <w:t>acute health problems including:</w:t>
      </w:r>
    </w:p>
    <w:p w:rsidR="00000000" w:rsidRPr="00F87445" w:rsidP="00F87445">
      <w:pPr>
        <w:pStyle w:val="ListBullet2"/>
      </w:pPr>
      <w:r w:rsidRPr="00F87445">
        <w:t>acute renal disorders</w:t>
      </w:r>
    </w:p>
    <w:p w:rsidR="00000000" w:rsidRPr="00F87445" w:rsidP="00F87445">
      <w:pPr>
        <w:pStyle w:val="ListBullet2"/>
      </w:pPr>
      <w:r w:rsidRPr="00F87445">
        <w:t>acute gastrointestinal disorders</w:t>
      </w:r>
    </w:p>
    <w:p w:rsidR="00000000" w:rsidRPr="00F87445" w:rsidP="00F87445">
      <w:pPr>
        <w:pStyle w:val="ListBullet2"/>
      </w:pPr>
      <w:r w:rsidRPr="00F87445">
        <w:t>acute neurological disorder</w:t>
      </w:r>
    </w:p>
    <w:p w:rsidR="00000000" w:rsidRPr="00F87445" w:rsidP="00F87445">
      <w:pPr>
        <w:pStyle w:val="ListBullet2"/>
      </w:pPr>
      <w:r w:rsidRPr="00F87445">
        <w:t>acute pain</w:t>
      </w:r>
    </w:p>
    <w:p w:rsidR="00000000" w:rsidRPr="00F87445" w:rsidP="00F87445">
      <w:pPr>
        <w:pStyle w:val="ListBullet2"/>
      </w:pPr>
      <w:r w:rsidRPr="00F87445">
        <w:t>acute respiratory disorders</w:t>
      </w:r>
    </w:p>
    <w:p w:rsidR="00000000" w:rsidRPr="00F87445" w:rsidP="00F87445">
      <w:pPr>
        <w:pStyle w:val="ListBullet2"/>
      </w:pPr>
      <w:r w:rsidRPr="00F87445">
        <w:t>acute unconscious st</w:t>
      </w:r>
      <w:r w:rsidRPr="00F87445">
        <w:t>ate</w:t>
      </w:r>
    </w:p>
    <w:p w:rsidR="00000000" w:rsidRPr="00F87445" w:rsidP="00F87445">
      <w:pPr>
        <w:pStyle w:val="ListBullet2"/>
      </w:pPr>
      <w:r w:rsidRPr="00F87445">
        <w:t>angina</w:t>
      </w:r>
    </w:p>
    <w:p w:rsidR="00000000" w:rsidRPr="00F87445" w:rsidP="00F87445">
      <w:pPr>
        <w:pStyle w:val="ListBullet2"/>
      </w:pPr>
      <w:r w:rsidRPr="00F87445">
        <w:t>burns</w:t>
      </w:r>
    </w:p>
    <w:p w:rsidR="00000000" w:rsidRPr="00F87445" w:rsidP="00F87445">
      <w:pPr>
        <w:pStyle w:val="ListBullet2"/>
      </w:pPr>
      <w:r w:rsidRPr="00F87445">
        <w:t>cellulitis</w:t>
      </w:r>
    </w:p>
    <w:p w:rsidR="00000000" w:rsidRPr="00F87445" w:rsidP="00F87445">
      <w:pPr>
        <w:pStyle w:val="ListBullet2"/>
      </w:pPr>
      <w:r w:rsidRPr="00F87445">
        <w:t>deep vein thrombosis, venous thromboembolism</w:t>
      </w:r>
    </w:p>
    <w:p w:rsidR="00000000" w:rsidRPr="00F87445" w:rsidP="00F87445">
      <w:pPr>
        <w:pStyle w:val="ListBullet2"/>
      </w:pPr>
      <w:r w:rsidRPr="00F87445">
        <w:t>dehydration</w:t>
      </w:r>
    </w:p>
    <w:p w:rsidR="00000000" w:rsidRPr="00F87445" w:rsidP="00F87445">
      <w:pPr>
        <w:pStyle w:val="ListBullet2"/>
      </w:pPr>
      <w:r w:rsidRPr="00F87445">
        <w:t>fractures</w:t>
      </w:r>
    </w:p>
    <w:p w:rsidR="00000000" w:rsidRPr="00F87445" w:rsidP="00F87445">
      <w:pPr>
        <w:pStyle w:val="ListBullet2"/>
      </w:pPr>
      <w:r w:rsidRPr="00F87445">
        <w:t>haemorrhage</w:t>
      </w:r>
    </w:p>
    <w:p w:rsidR="00000000" w:rsidRPr="00F87445" w:rsidP="00F87445">
      <w:pPr>
        <w:pStyle w:val="ListBullet2"/>
      </w:pPr>
      <w:r w:rsidRPr="00F87445">
        <w:t>head injury</w:t>
      </w:r>
    </w:p>
    <w:p w:rsidR="00000000" w:rsidRPr="00F87445" w:rsidP="00F87445">
      <w:pPr>
        <w:pStyle w:val="ListBullet2"/>
      </w:pPr>
      <w:r w:rsidRPr="00F87445">
        <w:t>myocardial infarction</w:t>
      </w:r>
    </w:p>
    <w:p w:rsidR="00000000" w:rsidRPr="00F87445" w:rsidP="00F87445">
      <w:pPr>
        <w:pStyle w:val="ListBullet2"/>
      </w:pPr>
      <w:r w:rsidRPr="00F87445">
        <w:t>renal calculi</w:t>
      </w:r>
    </w:p>
    <w:p w:rsidR="00000000" w:rsidRPr="00F87445" w:rsidP="00F87445">
      <w:pPr>
        <w:pStyle w:val="ListBullet2"/>
      </w:pPr>
      <w:r w:rsidRPr="00F87445">
        <w:t>sepsis</w:t>
      </w:r>
    </w:p>
    <w:p w:rsidR="00000000" w:rsidRPr="00F87445" w:rsidP="00F87445">
      <w:pPr>
        <w:pStyle w:val="ListBullet2"/>
      </w:pPr>
      <w:r w:rsidRPr="00F87445">
        <w:t>shock</w:t>
      </w:r>
    </w:p>
    <w:p w:rsidR="00000000" w:rsidRPr="00F87445" w:rsidP="00F87445">
      <w:pPr>
        <w:pStyle w:val="ListBullet"/>
      </w:pPr>
      <w:r w:rsidRPr="00F87445">
        <w:t>holistic approach to care in the acute care environment including nursing interventions and outcomes</w:t>
      </w:r>
    </w:p>
    <w:p w:rsidR="00000000" w:rsidRPr="00F87445" w:rsidP="00F87445">
      <w:pPr>
        <w:pStyle w:val="ListBullet"/>
      </w:pPr>
      <w:r w:rsidRPr="00F87445">
        <w:t>clinical manifestations of acute disease states and illnesses requiring complex nursing interventions</w:t>
      </w:r>
    </w:p>
    <w:p w:rsidR="00000000" w:rsidRPr="00F87445" w:rsidP="00F87445">
      <w:pPr>
        <w:pStyle w:val="ListBullet"/>
      </w:pPr>
      <w:r w:rsidRPr="00F87445">
        <w:t>emergency management protocols for first aid procedur</w:t>
      </w:r>
      <w:r w:rsidRPr="00F87445">
        <w:t xml:space="preserve">es and cardiac and respiratory arrest </w:t>
      </w:r>
    </w:p>
    <w:p w:rsidR="00000000" w:rsidRPr="00F87445" w:rsidP="00F87445">
      <w:pPr>
        <w:pStyle w:val="ListBullet"/>
      </w:pPr>
      <w:r w:rsidRPr="00F87445">
        <w:t>pre- and post-operative nursing management</w:t>
      </w:r>
    </w:p>
    <w:p w:rsidR="00000000" w:rsidRPr="00F87445" w:rsidP="00F87445">
      <w:pPr>
        <w:pStyle w:val="ListBullet"/>
      </w:pPr>
      <w:r w:rsidRPr="00F87445">
        <w:t>equipment used in acute care environments</w:t>
      </w:r>
    </w:p>
    <w:p w:rsidR="00000000" w:rsidRPr="00F87445" w:rsidP="00F87445">
      <w:pPr>
        <w:pStyle w:val="ListBullet"/>
      </w:pPr>
      <w:r w:rsidRPr="00F87445">
        <w:t xml:space="preserve">post-operative pain management strategies </w:t>
      </w:r>
    </w:p>
    <w:p w:rsidR="00000000" w:rsidRPr="00F87445" w:rsidP="00F87445">
      <w:pPr>
        <w:pStyle w:val="ListBullet"/>
      </w:pPr>
      <w:r w:rsidRPr="00F87445">
        <w:t>post-anaesthetic and post-operative observations, which may include:</w:t>
      </w:r>
    </w:p>
    <w:p w:rsidR="00000000" w:rsidRPr="00F87445" w:rsidP="00F87445">
      <w:pPr>
        <w:pStyle w:val="ListBullet2"/>
      </w:pPr>
      <w:r w:rsidRPr="00F87445">
        <w:t>level of consciousness and awareness of deterioration when the person is not regaining consciousness</w:t>
      </w:r>
    </w:p>
    <w:p w:rsidR="00000000" w:rsidRPr="00F87445" w:rsidP="00F87445">
      <w:pPr>
        <w:pStyle w:val="ListBullet2"/>
      </w:pPr>
      <w:r w:rsidRPr="00F87445">
        <w:t>fluid intake - intravenous (IV), central venous catheter (CVC), total parenteral nutrition (TPN), oral, nasogastric (NG)</w:t>
      </w:r>
    </w:p>
    <w:p w:rsidR="00000000" w:rsidRPr="00F87445" w:rsidP="00F87445">
      <w:pPr>
        <w:pStyle w:val="ListBullet2"/>
      </w:pPr>
      <w:r w:rsidRPr="00F87445">
        <w:t>complications of acute bed rest</w:t>
      </w:r>
    </w:p>
    <w:p w:rsidR="00000000" w:rsidRPr="00F87445" w:rsidP="00F87445">
      <w:pPr>
        <w:pStyle w:val="ListBullet2"/>
      </w:pPr>
      <w:r w:rsidRPr="00F87445">
        <w:t>ri</w:t>
      </w:r>
      <w:r w:rsidRPr="00F87445">
        <w:t>sk assessment of patient’s stability on their feet</w:t>
      </w:r>
    </w:p>
    <w:p w:rsidR="00000000" w:rsidRPr="00F87445" w:rsidP="00F87445">
      <w:pPr>
        <w:pStyle w:val="ListBullet"/>
      </w:pPr>
      <w:r w:rsidRPr="00F87445">
        <w:t>how to perform complex interventions including:</w:t>
      </w:r>
    </w:p>
    <w:p w:rsidR="00000000" w:rsidRPr="00F87445" w:rsidP="00F87445">
      <w:pPr>
        <w:pStyle w:val="ListBullet2"/>
      </w:pPr>
      <w:r w:rsidRPr="00F87445">
        <w:t>tracheostomy suctioning</w:t>
      </w:r>
    </w:p>
    <w:p w:rsidR="00000000" w:rsidRPr="00F87445" w:rsidP="00F87445">
      <w:pPr>
        <w:pStyle w:val="ListBullet2"/>
      </w:pPr>
      <w:r w:rsidRPr="00F87445">
        <w:t>underwater seal drainage (UWSD) tube management</w:t>
      </w:r>
    </w:p>
    <w:p w:rsidR="00000000" w:rsidRPr="00F87445" w:rsidP="00F87445">
      <w:pPr>
        <w:pStyle w:val="ListBullet2"/>
      </w:pPr>
      <w:r w:rsidRPr="00F87445">
        <w:t>intercostal catheter care</w:t>
      </w:r>
    </w:p>
    <w:p w:rsidR="00000000" w:rsidRPr="00F87445" w:rsidP="00F87445">
      <w:pPr>
        <w:pStyle w:val="ListBullet"/>
      </w:pPr>
      <w:r w:rsidRPr="00F87445">
        <w:t>how to monitor a person with medical devices including:</w:t>
      </w:r>
    </w:p>
    <w:p w:rsidR="00000000" w:rsidRPr="00F87445" w:rsidP="00F87445">
      <w:pPr>
        <w:pStyle w:val="ListBullet2"/>
      </w:pPr>
      <w:r w:rsidRPr="00F87445">
        <w:t>continuous positive airway pressure (CPAP) and Bilevel positive airway pressure (BiPAP)</w:t>
      </w:r>
    </w:p>
    <w:p w:rsidR="00000000" w:rsidRPr="00F87445" w:rsidP="00F87445">
      <w:pPr>
        <w:pStyle w:val="ListBullet2"/>
      </w:pPr>
      <w:r w:rsidRPr="00F87445">
        <w:t>peripherally inserted central catheter (PICC)/midline management</w:t>
      </w:r>
    </w:p>
    <w:p w:rsidR="00000000" w:rsidRPr="00F87445" w:rsidP="00F87445">
      <w:pPr>
        <w:pStyle w:val="ListBullet"/>
      </w:pPr>
      <w:r w:rsidRPr="00F87445">
        <w:t>principles of surgical nursing and associated surgical procedures and related terminology including:</w:t>
      </w:r>
    </w:p>
    <w:p w:rsidR="00000000" w:rsidRPr="00F87445" w:rsidP="00F87445">
      <w:pPr>
        <w:pStyle w:val="ListBullet2"/>
      </w:pPr>
      <w:r w:rsidRPr="00F87445">
        <w:t>elective/emergency surgery</w:t>
      </w:r>
    </w:p>
    <w:p w:rsidR="00000000" w:rsidRPr="00F87445" w:rsidP="00F87445">
      <w:pPr>
        <w:pStyle w:val="ListBullet2"/>
      </w:pPr>
      <w:r w:rsidRPr="00F87445">
        <w:t>general, local, epidural and spinal anaesthetic and peripheral nerve block</w:t>
      </w:r>
    </w:p>
    <w:p w:rsidR="00000000" w:rsidRPr="00F87445" w:rsidP="00F87445">
      <w:pPr>
        <w:pStyle w:val="ListBullet2"/>
      </w:pPr>
      <w:r w:rsidRPr="00F87445">
        <w:t>amputation</w:t>
      </w:r>
    </w:p>
    <w:p w:rsidR="00000000" w:rsidRPr="00F87445" w:rsidP="00F87445">
      <w:pPr>
        <w:pStyle w:val="ListBullet2"/>
      </w:pPr>
      <w:r w:rsidRPr="00F87445">
        <w:t>open reduction</w:t>
      </w:r>
    </w:p>
    <w:p w:rsidR="00000000" w:rsidRPr="00F87445" w:rsidP="00F87445">
      <w:pPr>
        <w:pStyle w:val="ListBullet2"/>
      </w:pPr>
      <w:r w:rsidRPr="00F87445">
        <w:t>hip replacement</w:t>
      </w:r>
    </w:p>
    <w:p w:rsidR="00000000" w:rsidRPr="00F87445" w:rsidP="00F87445">
      <w:pPr>
        <w:pStyle w:val="ListBullet2"/>
      </w:pPr>
      <w:r w:rsidRPr="00F87445">
        <w:t>craniotomy</w:t>
      </w:r>
    </w:p>
    <w:p w:rsidR="00000000" w:rsidRPr="00F87445" w:rsidP="00F87445">
      <w:pPr>
        <w:pStyle w:val="ListBullet2"/>
      </w:pPr>
      <w:r w:rsidRPr="00F87445">
        <w:t>tonsillectomy</w:t>
      </w:r>
    </w:p>
    <w:p w:rsidR="00000000" w:rsidRPr="00F87445" w:rsidP="00F87445">
      <w:pPr>
        <w:pStyle w:val="ListBullet2"/>
      </w:pPr>
      <w:r w:rsidRPr="00F87445">
        <w:t>appendectomy</w:t>
      </w:r>
    </w:p>
    <w:p w:rsidR="00000000" w:rsidRPr="00F87445" w:rsidP="00F87445">
      <w:pPr>
        <w:pStyle w:val="ListBullet2"/>
      </w:pPr>
      <w:r w:rsidRPr="00F87445">
        <w:t>laparotomy</w:t>
      </w:r>
    </w:p>
    <w:p w:rsidR="00000000" w:rsidRPr="00F87445" w:rsidP="00F87445">
      <w:pPr>
        <w:pStyle w:val="ListBullet2"/>
      </w:pPr>
      <w:r w:rsidRPr="00F87445">
        <w:t>hysterectomy</w:t>
      </w:r>
    </w:p>
    <w:p w:rsidR="00000000" w:rsidRPr="00F87445" w:rsidP="00F87445">
      <w:pPr>
        <w:pStyle w:val="ListBullet2"/>
      </w:pPr>
      <w:r w:rsidRPr="00F87445">
        <w:t>prostatectomy</w:t>
      </w:r>
    </w:p>
    <w:p w:rsidR="00000000" w:rsidRPr="00F87445" w:rsidP="00F87445">
      <w:pPr>
        <w:pStyle w:val="ListBullet2"/>
      </w:pPr>
      <w:r w:rsidRPr="00F87445">
        <w:t>cataract extraction</w:t>
      </w:r>
    </w:p>
    <w:p w:rsidR="00000000" w:rsidRPr="00F87445" w:rsidP="00F87445">
      <w:pPr>
        <w:pStyle w:val="ListBullet2"/>
      </w:pPr>
      <w:r w:rsidRPr="00F87445">
        <w:t>internal bleeding due to trauma.</w:t>
      </w:r>
    </w:p>
    <w:p w:rsidR="00000000" w:rsidRPr="00F87445" w:rsidP="00F87445">
      <w:pPr>
        <w:pStyle w:val="AllowPageBreak"/>
      </w:pPr>
    </w:p>
    <w:p w:rsidR="00000000" w:rsidRPr="00F87445" w:rsidP="00F87445">
      <w:pPr>
        <w:pStyle w:val="Heading1"/>
      </w:pPr>
      <w:bookmarkStart w:id="4" w:name="O_820732"/>
      <w:bookmarkEnd w:id="4"/>
      <w:r w:rsidRPr="00F87445">
        <w:t>Assessment Conditions</w:t>
      </w:r>
    </w:p>
    <w:p w:rsidR="00000000" w:rsidRPr="00F87445" w:rsidP="00980B62">
      <w:pPr>
        <w:pStyle w:val="BodyText"/>
      </w:pPr>
      <w:r w:rsidRPr="00F87445">
        <w:t xml:space="preserve">Skills must have been demonstrated in the workplace or in a simulated environment as specified in the performance evidence. The following conditions must be met for this unit: </w:t>
      </w:r>
    </w:p>
    <w:p w:rsidR="00000000" w:rsidRPr="00F87445" w:rsidP="00F87445">
      <w:pPr>
        <w:pStyle w:val="ListBullet"/>
      </w:pPr>
      <w:r w:rsidRPr="00F87445">
        <w:t>use of</w:t>
      </w:r>
      <w:r w:rsidRPr="00F87445">
        <w:t xml:space="preserve"> suitable facilities, equipment and resources in line with the Australian Nursing and Midwifery Accreditation Council’s Standards including:</w:t>
      </w:r>
    </w:p>
    <w:p w:rsidR="00000000" w:rsidRPr="00F87445" w:rsidP="00F87445">
      <w:pPr>
        <w:pStyle w:val="ListBullet2"/>
      </w:pPr>
      <w:r w:rsidRPr="00F87445">
        <w:t xml:space="preserve">monitoring device for oxygen therapy measurements </w:t>
      </w:r>
    </w:p>
    <w:p w:rsidR="00000000" w:rsidRPr="00F87445" w:rsidP="00F87445">
      <w:pPr>
        <w:pStyle w:val="ListBullet2"/>
      </w:pPr>
      <w:r w:rsidRPr="00F87445">
        <w:t>wound drains suction equipment</w:t>
      </w:r>
    </w:p>
    <w:p w:rsidR="00000000" w:rsidRPr="00F87445" w:rsidP="00F87445">
      <w:pPr>
        <w:pStyle w:val="ListBullet2"/>
      </w:pPr>
      <w:r w:rsidRPr="00F87445">
        <w:t>dressing packs</w:t>
      </w:r>
    </w:p>
    <w:p w:rsidR="00000000" w:rsidRPr="00F87445" w:rsidP="00F87445">
      <w:pPr>
        <w:pStyle w:val="ListBullet2"/>
      </w:pPr>
      <w:r w:rsidRPr="00F87445">
        <w:t>personal protective equipment</w:t>
      </w:r>
    </w:p>
    <w:p w:rsidR="00000000" w:rsidRPr="00F87445" w:rsidP="00F87445">
      <w:pPr>
        <w:pStyle w:val="ListBullet2"/>
      </w:pPr>
      <w:r w:rsidRPr="00F87445">
        <w:t>organisation policy and procedures on which the candidate bases the planning</w:t>
      </w:r>
    </w:p>
    <w:p w:rsidR="00000000" w:rsidRPr="00F87445" w:rsidP="00F87445">
      <w:pPr>
        <w:pStyle w:val="ListBullet"/>
      </w:pPr>
      <w:r w:rsidRPr="00F87445">
        <w:t>modelling of industry operating conditions including access to real people for simulations and scenarios in enrolled nursing work.</w:t>
      </w:r>
    </w:p>
    <w:p w:rsidR="00000000" w:rsidRPr="00F87445" w:rsidP="00F87445">
      <w:pPr>
        <w:pStyle w:val="BodyText"/>
      </w:pPr>
    </w:p>
    <w:p w:rsidR="00000000" w:rsidRPr="00F87445" w:rsidP="00980B62">
      <w:pPr>
        <w:pStyle w:val="BodyText"/>
      </w:pPr>
      <w:r w:rsidRPr="00F87445">
        <w:t>Assessors must s</w:t>
      </w:r>
      <w:r w:rsidRPr="00F87445">
        <w:t>atisfy the Standards for Registered Training Organisations (RTOs) 2015/AQTF mandatory competency requirements for assessors.</w:t>
      </w:r>
    </w:p>
    <w:p w:rsidR="00000000" w:rsidRPr="00F87445" w:rsidP="00980B62">
      <w:pPr>
        <w:pStyle w:val="BodyText"/>
      </w:pPr>
      <w:r w:rsidRPr="00F87445">
        <w:t xml:space="preserve">In addition, assessors must hold current registration as a Registered Nurse with Nursing and Midwifery Board of Australia. </w:t>
      </w:r>
    </w:p>
    <w:p w:rsidR="00000000" w:rsidRPr="00F87445" w:rsidP="00F87445">
      <w:pPr>
        <w:pStyle w:val="Heading1"/>
      </w:pPr>
      <w:bookmarkStart w:id="5" w:name="O_820735"/>
      <w:bookmarkEnd w:id="5"/>
      <w:r w:rsidRPr="00F87445">
        <w:t>Links</w:t>
      </w:r>
    </w:p>
    <w:p w:rsidR="00000000" w:rsidRPr="00F87445" w:rsidP="00980B62">
      <w:pPr>
        <w:pStyle w:val="BodyText"/>
      </w:pPr>
      <w:r w:rsidRPr="00F874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745A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87445" w:rsidP="00F87445"/>
    <w:sectPr w:rsidSect="00F874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4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445" w:rsidRPr="00980B62" w:rsidP="00980B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4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62" w:rsidP="00F874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0B62" w:rsidP="00F874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80B62" w:rsidP="00F874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4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445" w:rsidRPr="00980B62" w:rsidP="00980B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4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62" w:rsidRPr="002D2AF8" w:rsidP="00F874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HLTENN011 Implement and monitor care for a person with acute health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980B62" w:rsidP="00F874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1C1A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C4D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EAB6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4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4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4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4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4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4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4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4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4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4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4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445"/>
  </w:style>
  <w:style w:type="character" w:customStyle="1" w:styleId="Heading1Char">
    <w:name w:val="Heading 1 Char"/>
    <w:basedOn w:val="DefaultParagraphFont"/>
    <w:link w:val="Heading1"/>
    <w:rsid w:val="00F874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4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4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4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445"/>
    <w:rPr>
      <w:b/>
      <w:spacing w:val="0"/>
    </w:rPr>
  </w:style>
  <w:style w:type="paragraph" w:styleId="ListBullet2">
    <w:name w:val="List Bullet 2"/>
    <w:basedOn w:val="List2"/>
    <w:rsid w:val="00F874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7445"/>
    <w:rPr>
      <w:i/>
    </w:rPr>
  </w:style>
  <w:style w:type="paragraph" w:customStyle="1" w:styleId="SuperHeading">
    <w:name w:val="SuperHeading"/>
    <w:basedOn w:val="Normal"/>
    <w:rsid w:val="00F874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4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4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4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4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4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4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4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4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4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4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4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4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4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4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4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4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4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4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4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4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74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4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4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4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4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4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4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4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4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74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4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4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445"/>
  </w:style>
  <w:style w:type="paragraph" w:styleId="TableofFigures">
    <w:name w:val="table of figures"/>
    <w:basedOn w:val="Normal"/>
    <w:next w:val="Normal"/>
    <w:semiHidden/>
    <w:rsid w:val="00F874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4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7445"/>
    <w:rPr>
      <w:rFonts w:ascii="Wingdings" w:hAnsi="Wingdings"/>
    </w:rPr>
  </w:style>
  <w:style w:type="paragraph" w:customStyle="1" w:styleId="TableHeading">
    <w:name w:val="Table Heading"/>
    <w:basedOn w:val="HeadingBase"/>
    <w:rsid w:val="00F874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445"/>
    <w:rPr>
      <w:color w:val="0033CC"/>
      <w:u w:val="none"/>
    </w:rPr>
  </w:style>
  <w:style w:type="paragraph" w:customStyle="1" w:styleId="BodyTextRight">
    <w:name w:val="Body Text Right"/>
    <w:basedOn w:val="BodyText"/>
    <w:rsid w:val="00F874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4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4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4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4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4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445"/>
    <w:rPr>
      <w:sz w:val="32"/>
    </w:rPr>
  </w:style>
  <w:style w:type="paragraph" w:customStyle="1" w:styleId="HeadingProcedure">
    <w:name w:val="Heading Procedure"/>
    <w:basedOn w:val="HeadingBase"/>
    <w:next w:val="Normal"/>
    <w:rsid w:val="00F874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445"/>
    <w:pPr>
      <w:spacing w:before="60" w:after="60"/>
    </w:pPr>
  </w:style>
  <w:style w:type="paragraph" w:styleId="ListContinue">
    <w:name w:val="List Continue"/>
    <w:basedOn w:val="List"/>
    <w:rsid w:val="00F87445"/>
    <w:pPr>
      <w:ind w:firstLine="0"/>
    </w:pPr>
  </w:style>
  <w:style w:type="paragraph" w:customStyle="1" w:styleId="ListNote">
    <w:name w:val="List Note"/>
    <w:basedOn w:val="List"/>
    <w:rsid w:val="00F874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4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4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445"/>
    <w:rPr>
      <w:rFonts w:ascii="Courier New" w:hAnsi="Courier New"/>
    </w:rPr>
  </w:style>
  <w:style w:type="paragraph" w:customStyle="1" w:styleId="NoteBullet">
    <w:name w:val="Note Bullet"/>
    <w:basedOn w:val="Note"/>
    <w:rsid w:val="00F874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4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4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4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4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74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4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445"/>
    <w:rPr>
      <w:b/>
      <w:smallCaps/>
    </w:rPr>
  </w:style>
  <w:style w:type="paragraph" w:customStyle="1" w:styleId="TableListNumber">
    <w:name w:val="Table List Number"/>
    <w:basedOn w:val="ListNumber"/>
    <w:rsid w:val="00F874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4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445"/>
    <w:pPr>
      <w:numPr>
        <w:numId w:val="9"/>
      </w:numPr>
    </w:pPr>
  </w:style>
  <w:style w:type="paragraph" w:customStyle="1" w:styleId="ListAlpha2">
    <w:name w:val="List Alpha 2"/>
    <w:basedOn w:val="List2"/>
    <w:rsid w:val="00F87445"/>
    <w:pPr>
      <w:numPr>
        <w:numId w:val="8"/>
      </w:numPr>
    </w:pPr>
  </w:style>
  <w:style w:type="paragraph" w:styleId="List2">
    <w:name w:val="List 2"/>
    <w:basedOn w:val="BodyText"/>
    <w:rsid w:val="00F874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4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4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4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4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4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7445"/>
    <w:pPr>
      <w:numPr>
        <w:numId w:val="4"/>
      </w:numPr>
    </w:pPr>
  </w:style>
  <w:style w:type="paragraph" w:styleId="ListContinue2">
    <w:name w:val="List Continue 2"/>
    <w:basedOn w:val="List2"/>
    <w:rsid w:val="00F87445"/>
    <w:pPr>
      <w:ind w:firstLine="0"/>
    </w:pPr>
  </w:style>
  <w:style w:type="paragraph" w:styleId="ListContinue3">
    <w:name w:val="List Continue 3"/>
    <w:basedOn w:val="List3"/>
    <w:rsid w:val="00F87445"/>
    <w:pPr>
      <w:ind w:left="1021" w:firstLine="0"/>
    </w:pPr>
  </w:style>
  <w:style w:type="paragraph" w:styleId="ListContinue4">
    <w:name w:val="List Continue 4"/>
    <w:basedOn w:val="List4"/>
    <w:rsid w:val="00F87445"/>
    <w:pPr>
      <w:ind w:firstLine="0"/>
    </w:pPr>
  </w:style>
  <w:style w:type="paragraph" w:styleId="ListContinue5">
    <w:name w:val="List Continue 5"/>
    <w:basedOn w:val="List5"/>
    <w:rsid w:val="00F87445"/>
    <w:pPr>
      <w:ind w:firstLine="0"/>
    </w:pPr>
  </w:style>
  <w:style w:type="paragraph" w:styleId="ListNumber3">
    <w:name w:val="List Number 3"/>
    <w:basedOn w:val="List3"/>
    <w:rsid w:val="00F87445"/>
    <w:pPr>
      <w:numPr>
        <w:numId w:val="5"/>
      </w:numPr>
    </w:pPr>
  </w:style>
  <w:style w:type="paragraph" w:styleId="ListNumber4">
    <w:name w:val="List Number 4"/>
    <w:basedOn w:val="List4"/>
    <w:rsid w:val="00F87445"/>
    <w:pPr>
      <w:numPr>
        <w:numId w:val="6"/>
      </w:numPr>
    </w:pPr>
  </w:style>
  <w:style w:type="paragraph" w:styleId="ListNumber5">
    <w:name w:val="List Number 5"/>
    <w:basedOn w:val="List5"/>
    <w:rsid w:val="00F87445"/>
    <w:pPr>
      <w:numPr>
        <w:numId w:val="7"/>
      </w:numPr>
    </w:pPr>
  </w:style>
  <w:style w:type="paragraph" w:styleId="BlockText">
    <w:name w:val="Block Text"/>
    <w:basedOn w:val="Normal"/>
    <w:rsid w:val="00F874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4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445"/>
    <w:rPr>
      <w:sz w:val="16"/>
      <w:vertAlign w:val="superscript"/>
    </w:rPr>
  </w:style>
  <w:style w:type="character" w:customStyle="1" w:styleId="Symbols">
    <w:name w:val="Symbols"/>
    <w:basedOn w:val="DefaultParagraphFont"/>
    <w:rsid w:val="00F87445"/>
    <w:rPr>
      <w:rFonts w:ascii="Symbol" w:hAnsi="Symbol"/>
    </w:rPr>
  </w:style>
  <w:style w:type="character" w:customStyle="1" w:styleId="MenuOptions">
    <w:name w:val="Menu Options"/>
    <w:basedOn w:val="DefaultParagraphFont"/>
    <w:rsid w:val="00F874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445"/>
    <w:rPr>
      <w:b/>
    </w:rPr>
  </w:style>
  <w:style w:type="character" w:customStyle="1" w:styleId="Underlined">
    <w:name w:val="Underlined"/>
    <w:basedOn w:val="DefaultParagraphFont"/>
    <w:rsid w:val="00F87445"/>
    <w:rPr>
      <w:u w:val="single"/>
    </w:rPr>
  </w:style>
  <w:style w:type="paragraph" w:customStyle="1" w:styleId="TableBodyTextRight">
    <w:name w:val="Table Body Text Right"/>
    <w:basedOn w:val="TableBodyText"/>
    <w:rsid w:val="00F874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445"/>
    <w:rPr>
      <w:sz w:val="18"/>
    </w:rPr>
  </w:style>
  <w:style w:type="paragraph" w:customStyle="1" w:styleId="BodySmallRight">
    <w:name w:val="Body Small Right"/>
    <w:basedOn w:val="BodyTextRight"/>
    <w:rsid w:val="00F87445"/>
    <w:rPr>
      <w:sz w:val="18"/>
      <w:szCs w:val="18"/>
    </w:rPr>
  </w:style>
  <w:style w:type="paragraph" w:customStyle="1" w:styleId="MarginEdition">
    <w:name w:val="Margin Edition"/>
    <w:basedOn w:val="MarginNote"/>
    <w:rsid w:val="00F874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445"/>
    <w:rPr>
      <w:sz w:val="2"/>
      <w:szCs w:val="2"/>
    </w:rPr>
  </w:style>
  <w:style w:type="character" w:customStyle="1" w:styleId="Small">
    <w:name w:val="Small"/>
    <w:basedOn w:val="DefaultParagraphFont"/>
    <w:rsid w:val="00F87445"/>
    <w:rPr>
      <w:sz w:val="16"/>
    </w:rPr>
  </w:style>
  <w:style w:type="paragraph" w:customStyle="1" w:styleId="WideTable">
    <w:name w:val="Wide Table"/>
    <w:basedOn w:val="Normal"/>
    <w:rsid w:val="00F874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445"/>
  </w:style>
  <w:style w:type="paragraph" w:styleId="Quote">
    <w:name w:val="Quote"/>
    <w:basedOn w:val="Heading1"/>
    <w:link w:val="QuoteChar"/>
    <w:qFormat/>
    <w:rsid w:val="00F874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4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445"/>
    <w:pPr>
      <w:pageBreakBefore/>
    </w:pPr>
  </w:style>
  <w:style w:type="paragraph" w:customStyle="1" w:styleId="Border">
    <w:name w:val="Border"/>
    <w:basedOn w:val="Normal"/>
    <w:qFormat/>
    <w:rsid w:val="00F874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4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4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4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4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4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4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4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4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445"/>
    <w:rPr>
      <w:u w:val="single"/>
    </w:rPr>
  </w:style>
  <w:style w:type="character" w:customStyle="1" w:styleId="BoldandItalics">
    <w:name w:val="Bold and Italics"/>
    <w:qFormat/>
    <w:rsid w:val="00F87445"/>
    <w:rPr>
      <w:b/>
      <w:i/>
      <w:u w:val="none"/>
    </w:rPr>
  </w:style>
  <w:style w:type="paragraph" w:styleId="BalloonText">
    <w:name w:val="Balloon Text"/>
    <w:basedOn w:val="Normal"/>
    <w:link w:val="BalloonTextChar"/>
    <w:rsid w:val="00F87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4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4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4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4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4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445"/>
    <w:pPr>
      <w:spacing w:before="0" w:after="0"/>
    </w:pPr>
  </w:style>
  <w:style w:type="paragraph" w:customStyle="1" w:styleId="BodyTextBold">
    <w:name w:val="Body Text Bold"/>
    <w:basedOn w:val="BodyText"/>
    <w:qFormat/>
    <w:rsid w:val="00F87445"/>
    <w:rPr>
      <w:b/>
    </w:rPr>
  </w:style>
  <w:style w:type="character" w:styleId="Hyperlink">
    <w:name w:val="Hyperlink"/>
    <w:basedOn w:val="DefaultParagraphFont"/>
    <w:uiPriority w:val="99"/>
    <w:unhideWhenUsed/>
    <w:rsid w:val="00980B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4381</Characters>
  <Application>Microsoft Office Word</Application>
  <DocSecurity>0</DocSecurity>
  <Lines>125</Lines>
  <Paragraphs>94</Paragraphs>
  <ScaleCrop>false</ScaleCrop>
  <Company>Author-it Software Corporation Ltd.</Company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HLTENN011 Implement and monitor care for a person with acute health problems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2021-03-18T06:42:00Z</dcterms:created>
  <dcterms:modified xsi:type="dcterms:W3CDTF">2021-03-18T06:42:00Z</dcterms:modified>
</cp:coreProperties>
</file>