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31F" w:rsidP="0064231F">
      <w:pPr>
        <w:pStyle w:val="Title"/>
      </w:pPr>
      <w:r>
        <w:fldChar w:fldCharType="begin"/>
      </w:r>
      <w:r>
        <w:instrText xml:space="preserve"> TITLE   \* MERGEFORMAT </w:instrText>
      </w:r>
      <w:r>
        <w:fldChar w:fldCharType="separate"/>
      </w:r>
      <w:r>
        <w:t>Assessment Requirements for HLTENN007 Administer and monitor medicines and intravenous therapy</w:t>
      </w:r>
      <w:r>
        <w:fldChar w:fldCharType="end"/>
      </w:r>
    </w:p>
    <w:p w:rsidR="0064231F" w:rsidP="0064231F">
      <w:pPr>
        <w:pStyle w:val="Version"/>
        <w:sectPr w:rsidSect="00DF1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A1B" w:rsidP="00DF1A1B">
      <w:pPr>
        <w:pStyle w:val="SuperHeading"/>
      </w:pPr>
      <w:r w:rsidRPr="00DF1A1B">
        <w:t>Assessment Requirements for HLTENN007 Administer and monitor medicines and intravenous therapy</w:t>
      </w:r>
    </w:p>
    <w:p w:rsidR="00000000" w:rsidRPr="00DF1A1B" w:rsidP="00DF1A1B">
      <w:pPr>
        <w:pStyle w:val="Heading1"/>
      </w:pPr>
      <w:bookmarkStart w:id="1" w:name="O_820634"/>
      <w:bookmarkEnd w:id="1"/>
      <w:r w:rsidRPr="00DF1A1B">
        <w:t>Modification History</w:t>
      </w:r>
    </w:p>
    <w:tbl>
      <w:tblPr>
        <w:tblW w:w="0" w:type="auto"/>
        <w:tblLayout w:type="fixed"/>
        <w:tblCellMar>
          <w:left w:w="62" w:type="dxa"/>
          <w:right w:w="62" w:type="dxa"/>
        </w:tblCellMar>
        <w:tblLook w:val="0000"/>
      </w:tblPr>
      <w:tblGrid>
        <w:gridCol w:w="2790"/>
        <w:gridCol w:w="6344"/>
      </w:tblGrid>
      <w:tr w:rsidTr="00DF1A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A1B">
            <w:pPr>
              <w:pStyle w:val="BodyText"/>
              <w:rPr>
                <w:lang w:val="en-NZ"/>
              </w:rPr>
            </w:pPr>
            <w:r w:rsidRPr="00DF1A1B">
              <w:rPr>
                <w:rStyle w:val="SpecialBold"/>
              </w:rPr>
              <w:t>Comments</w:t>
            </w:r>
          </w:p>
        </w:tc>
      </w:tr>
      <w:tr w:rsidTr="00DF1A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A1B">
            <w:pPr>
              <w:pStyle w:val="BodyText"/>
              <w:rPr>
                <w:lang w:val="en-NZ"/>
              </w:rPr>
            </w:pPr>
            <w:r w:rsidRPr="00DF1A1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 xml:space="preserve">This version was released in </w:t>
            </w:r>
            <w:r w:rsidRPr="00DF1A1B">
              <w:rPr>
                <w:rStyle w:val="Emphasis"/>
              </w:rPr>
              <w:t>HLT Health Training Package release 3.0</w:t>
            </w:r>
            <w:r w:rsidRPr="00DF1A1B">
              <w:t xml:space="preserve"> and meets the requirements of the 2012 Standards for Training Packages.</w:t>
            </w:r>
          </w:p>
          <w:p w:rsidR="00000000" w:rsidRPr="00DF1A1B" w:rsidP="00DF1A1B">
            <w:pPr>
              <w:pStyle w:val="BodyText"/>
            </w:pPr>
            <w:r w:rsidRPr="00DF1A1B">
              <w:t xml:space="preserve">Merged with HLTEN507C and HLTEN519C. </w:t>
            </w:r>
          </w:p>
          <w:p w:rsidR="00000000" w:rsidRPr="00DF1A1B" w:rsidP="00DF1A1B">
            <w:pPr>
              <w:pStyle w:val="BodyText"/>
            </w:pPr>
            <w:r w:rsidRPr="00DF1A1B">
              <w:t>Significant changes to the elements and performance criteria. New evidence requirements for assessment, including volume and frequency requiremen</w:t>
            </w:r>
            <w:r w:rsidRPr="00DF1A1B">
              <w:t>ts. Significant change to knowledge evidence.</w:t>
            </w:r>
          </w:p>
        </w:tc>
      </w:tr>
    </w:tbl>
    <w:p w:rsidR="00000000" w:rsidRPr="00DF1A1B" w:rsidP="00DF1A1B">
      <w:pPr>
        <w:pStyle w:val="BodyText"/>
      </w:pPr>
    </w:p>
    <w:p w:rsidR="00000000" w:rsidRPr="00DF1A1B" w:rsidP="00DF1A1B">
      <w:pPr>
        <w:pStyle w:val="AllowPageBreak"/>
      </w:pPr>
    </w:p>
    <w:p w:rsidR="00000000" w:rsidRPr="00DF1A1B" w:rsidP="00DF1A1B">
      <w:pPr>
        <w:pStyle w:val="Heading1"/>
      </w:pPr>
      <w:bookmarkStart w:id="2" w:name="O_820635"/>
      <w:bookmarkEnd w:id="2"/>
      <w:r w:rsidRPr="00DF1A1B">
        <w:t>Performance Evidence</w:t>
      </w:r>
    </w:p>
    <w:p w:rsidR="00000000" w:rsidRPr="00DF1A1B" w:rsidP="0064231F">
      <w:pPr>
        <w:pStyle w:val="BodyText"/>
      </w:pPr>
      <w:r w:rsidRPr="00DF1A1B">
        <w:t>The candidate must show evidence of the ability to complete tasks outlined in elements and performance criteria of this unit, manage tasks and manage contingencies in the</w:t>
      </w:r>
      <w:r w:rsidRPr="00DF1A1B">
        <w:t xml:space="preserve"> context of the job role. There must be evidence that the candidate has:</w:t>
      </w:r>
    </w:p>
    <w:p w:rsidR="00000000" w:rsidRPr="00DF1A1B" w:rsidP="00DF1A1B">
      <w:pPr>
        <w:pStyle w:val="ListBullet"/>
      </w:pPr>
      <w:r w:rsidRPr="00DF1A1B">
        <w:t>undertaken nursing work in accordance with Nursing and Midwifery Board of Australia professional practice standards, codes and guidelines</w:t>
      </w:r>
    </w:p>
    <w:p w:rsidR="00000000" w:rsidRPr="00DF1A1B" w:rsidP="00DF1A1B">
      <w:pPr>
        <w:pStyle w:val="ListBullet"/>
      </w:pPr>
      <w:r w:rsidRPr="00DF1A1B">
        <w:t>calculated medications with 100% accuracy an</w:t>
      </w:r>
      <w:r w:rsidRPr="00DF1A1B">
        <w:t>d used the ‘Rights of Medication’ to administer medication to at least 2 people in simulation and at least 3 people in the workplace, and which must include the following routes:</w:t>
      </w:r>
    </w:p>
    <w:p w:rsidR="00000000" w:rsidRPr="00DF1A1B" w:rsidP="00DF1A1B">
      <w:pPr>
        <w:pStyle w:val="ListBullet2"/>
      </w:pPr>
      <w:r w:rsidRPr="00DF1A1B">
        <w:t>oral</w:t>
      </w:r>
    </w:p>
    <w:p w:rsidR="00000000" w:rsidRPr="00DF1A1B" w:rsidP="00DF1A1B">
      <w:pPr>
        <w:pStyle w:val="ListBullet2"/>
      </w:pPr>
      <w:r w:rsidRPr="00DF1A1B">
        <w:t>sub-cutaneous injection</w:t>
      </w:r>
    </w:p>
    <w:p w:rsidR="00000000" w:rsidRPr="00DF1A1B" w:rsidP="00DF1A1B">
      <w:pPr>
        <w:pStyle w:val="ListBullet"/>
      </w:pPr>
      <w:r w:rsidRPr="00DF1A1B">
        <w:t>calculated medications with 100% accuracy and used the ‘Rights of Medication’ to administer medication in the workplace or in a simulation environment to at least 2 people, and which must include the following routes:</w:t>
      </w:r>
    </w:p>
    <w:p w:rsidR="00000000" w:rsidRPr="00DF1A1B" w:rsidP="00DF1A1B">
      <w:pPr>
        <w:pStyle w:val="ListBullet2"/>
      </w:pPr>
      <w:r w:rsidRPr="00DF1A1B">
        <w:t>intramuscular injections</w:t>
      </w:r>
    </w:p>
    <w:p w:rsidR="00000000" w:rsidRPr="00DF1A1B" w:rsidP="00DF1A1B">
      <w:pPr>
        <w:pStyle w:val="ListBullet2"/>
      </w:pPr>
      <w:r w:rsidRPr="00DF1A1B">
        <w:t>peripheral I</w:t>
      </w:r>
      <w:r w:rsidRPr="00DF1A1B">
        <w:t>V injection</w:t>
      </w:r>
    </w:p>
    <w:p w:rsidR="00000000" w:rsidRPr="00DF1A1B" w:rsidP="00DF1A1B">
      <w:pPr>
        <w:pStyle w:val="ListBullet"/>
      </w:pPr>
      <w:r w:rsidRPr="00DF1A1B">
        <w:t>safely prepared equipment for IV therapy and blood and blood products administration, and monitored IV therapy and blood and blood products administration in the workplace or in simulated environment to at least 2 people including assessing ca</w:t>
      </w:r>
      <w:r w:rsidRPr="00DF1A1B">
        <w:t>nnula site.</w:t>
      </w:r>
    </w:p>
    <w:p w:rsidR="00000000" w:rsidRPr="00DF1A1B" w:rsidP="00DF1A1B">
      <w:pPr>
        <w:pStyle w:val="AllowPageBreak"/>
      </w:pPr>
    </w:p>
    <w:p w:rsidR="00000000" w:rsidRPr="00DF1A1B" w:rsidP="00DF1A1B">
      <w:pPr>
        <w:pStyle w:val="Heading1"/>
      </w:pPr>
      <w:bookmarkStart w:id="3" w:name="O_820636"/>
      <w:bookmarkEnd w:id="3"/>
      <w:r w:rsidRPr="00DF1A1B">
        <w:t>Knowledge Evidence</w:t>
      </w:r>
    </w:p>
    <w:p w:rsidR="00000000" w:rsidRPr="00DF1A1B" w:rsidP="0064231F">
      <w:pPr>
        <w:pStyle w:val="BodyText"/>
      </w:pPr>
      <w:r w:rsidRPr="00DF1A1B">
        <w:t>The candidate must be able to demonstrate essential knowledge required to effectively complete tasks outlined in elements and performance criteria of this unit, manage tasks and manage contingencies in the co</w:t>
      </w:r>
      <w:r w:rsidRPr="00DF1A1B">
        <w:t>ntext of the work role. This includes knowledge of:</w:t>
      </w:r>
    </w:p>
    <w:p w:rsidR="00000000" w:rsidRPr="00DF1A1B" w:rsidP="00DF1A1B">
      <w:pPr>
        <w:pStyle w:val="ListBullet"/>
      </w:pPr>
      <w:r w:rsidRPr="00DF1A1B">
        <w:t>legal requirements for practice parameters of enrolled nurse in relation to the administration and documentation of medications, including legal requirements for each route of administration</w:t>
      </w:r>
    </w:p>
    <w:p w:rsidR="00000000" w:rsidRPr="00DF1A1B" w:rsidP="00DF1A1B">
      <w:pPr>
        <w:pStyle w:val="ListBullet"/>
      </w:pPr>
      <w:r w:rsidRPr="00DF1A1B">
        <w:t>legal and re</w:t>
      </w:r>
      <w:r w:rsidRPr="00DF1A1B">
        <w:t>gulatory framework including</w:t>
      </w:r>
    </w:p>
    <w:p w:rsidR="00000000" w:rsidRPr="00DF1A1B" w:rsidP="00DF1A1B">
      <w:pPr>
        <w:pStyle w:val="ListBullet2"/>
      </w:pPr>
      <w:r w:rsidRPr="00DF1A1B">
        <w:t xml:space="preserve">health (drugs and poisons) regulations </w:t>
      </w:r>
    </w:p>
    <w:p w:rsidR="00000000" w:rsidRPr="00DF1A1B" w:rsidP="00DF1A1B">
      <w:pPr>
        <w:pStyle w:val="ListBullet2"/>
      </w:pPr>
      <w:r w:rsidRPr="00DF1A1B">
        <w:t>State/Territory drugs and poisons Acts</w:t>
      </w:r>
    </w:p>
    <w:p w:rsidR="00000000" w:rsidRPr="00DF1A1B" w:rsidP="00DF1A1B">
      <w:pPr>
        <w:pStyle w:val="ListBullet2"/>
      </w:pPr>
      <w:r w:rsidRPr="00DF1A1B">
        <w:t>State/Territory nurse regulatory authority codes and guidelines</w:t>
      </w:r>
    </w:p>
    <w:p w:rsidR="00000000" w:rsidRPr="00DF1A1B" w:rsidP="00DF1A1B">
      <w:pPr>
        <w:pStyle w:val="ListBullet2"/>
      </w:pPr>
      <w:r w:rsidRPr="00DF1A1B">
        <w:t>National Safety and Quality Health Standard (NSQHS) ‘</w:t>
      </w:r>
      <w:r w:rsidRPr="00DF1A1B">
        <w:t>Preventing and Controlling Health Care Associated Infections’</w:t>
      </w:r>
    </w:p>
    <w:p w:rsidR="00000000" w:rsidRPr="00DF1A1B" w:rsidP="00DF1A1B">
      <w:pPr>
        <w:pStyle w:val="ListBullet2"/>
      </w:pPr>
      <w:r w:rsidRPr="00DF1A1B">
        <w:t>Visual Infusion Phlebitis Score (VIPS)</w:t>
      </w:r>
    </w:p>
    <w:p w:rsidR="00000000" w:rsidRPr="00DF1A1B" w:rsidP="00DF1A1B">
      <w:pPr>
        <w:pStyle w:val="ListBullet2"/>
      </w:pPr>
      <w:r w:rsidRPr="00DF1A1B">
        <w:t>scheduled medications and interpretation of scheduling of medications - Schedule 2, Schedule 3, Schedule 4, Schedule 8</w:t>
      </w:r>
    </w:p>
    <w:p w:rsidR="00000000" w:rsidRPr="00DF1A1B" w:rsidP="00DF1A1B">
      <w:pPr>
        <w:pStyle w:val="ListBullet"/>
      </w:pPr>
      <w:r w:rsidRPr="00DF1A1B">
        <w:t>forms of medication and how they ar</w:t>
      </w:r>
      <w:r w:rsidRPr="00DF1A1B">
        <w:t>e handled, calculated, administered and stored, including:</w:t>
      </w:r>
    </w:p>
    <w:p w:rsidR="00000000" w:rsidRPr="00DF1A1B" w:rsidP="00DF1A1B">
      <w:pPr>
        <w:pStyle w:val="ListBullet2"/>
      </w:pPr>
      <w:r w:rsidRPr="00DF1A1B">
        <w:t>capsules</w:t>
      </w:r>
    </w:p>
    <w:p w:rsidR="00000000" w:rsidRPr="00DF1A1B" w:rsidP="00DF1A1B">
      <w:pPr>
        <w:pStyle w:val="ListBullet2"/>
      </w:pPr>
      <w:r w:rsidRPr="00DF1A1B">
        <w:t>drops</w:t>
      </w:r>
    </w:p>
    <w:p w:rsidR="00000000" w:rsidRPr="00DF1A1B" w:rsidP="00DF1A1B">
      <w:pPr>
        <w:pStyle w:val="ListBullet2"/>
      </w:pPr>
      <w:r w:rsidRPr="00DF1A1B">
        <w:t>inhalants</w:t>
      </w:r>
    </w:p>
    <w:p w:rsidR="00000000" w:rsidRPr="00DF1A1B" w:rsidP="00DF1A1B">
      <w:pPr>
        <w:pStyle w:val="ListBullet2"/>
      </w:pPr>
      <w:r w:rsidRPr="00DF1A1B">
        <w:t>liquid</w:t>
      </w:r>
    </w:p>
    <w:p w:rsidR="00000000" w:rsidRPr="00DF1A1B" w:rsidP="00DF1A1B">
      <w:pPr>
        <w:pStyle w:val="ListBullet2"/>
      </w:pPr>
      <w:r w:rsidRPr="00DF1A1B">
        <w:t>lotions and creams</w:t>
      </w:r>
    </w:p>
    <w:p w:rsidR="00000000" w:rsidRPr="00DF1A1B" w:rsidP="00DF1A1B">
      <w:pPr>
        <w:pStyle w:val="ListBullet2"/>
      </w:pPr>
      <w:r w:rsidRPr="00DF1A1B">
        <w:t>ointments</w:t>
      </w:r>
    </w:p>
    <w:p w:rsidR="00000000" w:rsidRPr="00DF1A1B" w:rsidP="00DF1A1B">
      <w:pPr>
        <w:pStyle w:val="ListBullet2"/>
      </w:pPr>
      <w:r w:rsidRPr="00DF1A1B">
        <w:t>patches</w:t>
      </w:r>
    </w:p>
    <w:p w:rsidR="00000000" w:rsidRPr="00DF1A1B" w:rsidP="00DF1A1B">
      <w:pPr>
        <w:pStyle w:val="ListBullet2"/>
      </w:pPr>
      <w:r w:rsidRPr="00DF1A1B">
        <w:t>powders</w:t>
      </w:r>
    </w:p>
    <w:p w:rsidR="00000000" w:rsidRPr="00DF1A1B" w:rsidP="00DF1A1B">
      <w:pPr>
        <w:pStyle w:val="ListBullet2"/>
      </w:pPr>
      <w:r w:rsidRPr="00DF1A1B">
        <w:t>tablets</w:t>
      </w:r>
    </w:p>
    <w:p w:rsidR="00000000" w:rsidRPr="00DF1A1B" w:rsidP="00DF1A1B">
      <w:pPr>
        <w:pStyle w:val="ListBullet2"/>
      </w:pPr>
      <w:r w:rsidRPr="00DF1A1B">
        <w:t>wafers</w:t>
      </w:r>
    </w:p>
    <w:p w:rsidR="00000000" w:rsidRPr="00DF1A1B" w:rsidP="00DF1A1B">
      <w:pPr>
        <w:pStyle w:val="ListBullet2"/>
      </w:pPr>
      <w:r w:rsidRPr="00DF1A1B">
        <w:t>suppositories</w:t>
      </w:r>
    </w:p>
    <w:p w:rsidR="00000000" w:rsidRPr="00DF1A1B" w:rsidP="00DF1A1B">
      <w:pPr>
        <w:pStyle w:val="ListBullet"/>
      </w:pPr>
      <w:r w:rsidRPr="00DF1A1B">
        <w:t>pharmacology of medications, including:</w:t>
      </w:r>
    </w:p>
    <w:p w:rsidR="00000000" w:rsidRPr="00DF1A1B" w:rsidP="00DF1A1B">
      <w:pPr>
        <w:pStyle w:val="ListBullet2"/>
      </w:pPr>
      <w:r w:rsidRPr="00DF1A1B">
        <w:t xml:space="preserve">pharmacodynamics </w:t>
      </w:r>
    </w:p>
    <w:p w:rsidR="00000000" w:rsidRPr="00DF1A1B" w:rsidP="00DF1A1B">
      <w:pPr>
        <w:pStyle w:val="ListBullet2"/>
      </w:pPr>
      <w:r w:rsidRPr="00DF1A1B">
        <w:t xml:space="preserve">pharmacokinetics </w:t>
      </w:r>
    </w:p>
    <w:p w:rsidR="00000000" w:rsidRPr="00DF1A1B" w:rsidP="00DF1A1B">
      <w:pPr>
        <w:pStyle w:val="ListBullet2"/>
      </w:pPr>
      <w:r w:rsidRPr="00DF1A1B">
        <w:t>pharmacotherapeutics</w:t>
      </w:r>
    </w:p>
    <w:p w:rsidR="00000000" w:rsidRPr="00DF1A1B" w:rsidP="00DF1A1B">
      <w:pPr>
        <w:pStyle w:val="ListBullet2"/>
      </w:pPr>
      <w:r w:rsidRPr="00DF1A1B">
        <w:t>toxicology</w:t>
      </w:r>
    </w:p>
    <w:p w:rsidR="00000000" w:rsidRPr="00DF1A1B" w:rsidP="00DF1A1B">
      <w:pPr>
        <w:pStyle w:val="ListBullet2"/>
      </w:pPr>
      <w:r w:rsidRPr="00DF1A1B">
        <w:t>anaphylactic reactions</w:t>
      </w:r>
    </w:p>
    <w:p w:rsidR="00000000" w:rsidRPr="00DF1A1B" w:rsidP="00DF1A1B">
      <w:pPr>
        <w:pStyle w:val="ListBullet2"/>
      </w:pPr>
      <w:r w:rsidRPr="00DF1A1B">
        <w:t>adverse reactions</w:t>
      </w:r>
    </w:p>
    <w:p w:rsidR="00000000" w:rsidRPr="00DF1A1B" w:rsidP="00DF1A1B">
      <w:pPr>
        <w:pStyle w:val="ListBullet2"/>
      </w:pPr>
      <w:r w:rsidRPr="00DF1A1B">
        <w:t>contraindications</w:t>
      </w:r>
    </w:p>
    <w:p w:rsidR="00000000" w:rsidRPr="00DF1A1B" w:rsidP="00DF1A1B">
      <w:pPr>
        <w:pStyle w:val="ListBullet2"/>
      </w:pPr>
      <w:r w:rsidRPr="00DF1A1B">
        <w:t>precautions</w:t>
      </w:r>
    </w:p>
    <w:p w:rsidR="00000000" w:rsidRPr="00DF1A1B" w:rsidP="00DF1A1B">
      <w:pPr>
        <w:pStyle w:val="ListBullet2"/>
      </w:pPr>
      <w:r w:rsidRPr="00DF1A1B">
        <w:t>side effects</w:t>
      </w:r>
    </w:p>
    <w:p w:rsidR="00000000" w:rsidRPr="00DF1A1B" w:rsidP="00DF1A1B">
      <w:pPr>
        <w:pStyle w:val="ListBullet"/>
      </w:pPr>
      <w:r w:rsidRPr="00DF1A1B">
        <w:t>potential complications of blood transfusion including:</w:t>
      </w:r>
    </w:p>
    <w:p w:rsidR="00000000" w:rsidRPr="00DF1A1B" w:rsidP="00DF1A1B">
      <w:pPr>
        <w:pStyle w:val="ListBullet2"/>
      </w:pPr>
      <w:r w:rsidRPr="00DF1A1B">
        <w:t>pain at IV site and arm</w:t>
      </w:r>
    </w:p>
    <w:p w:rsidR="00000000" w:rsidRPr="00DF1A1B" w:rsidP="00DF1A1B">
      <w:pPr>
        <w:pStyle w:val="ListBullet2"/>
      </w:pPr>
      <w:r w:rsidRPr="00DF1A1B">
        <w:t>loin pain</w:t>
      </w:r>
    </w:p>
    <w:p w:rsidR="00000000" w:rsidRPr="00DF1A1B" w:rsidP="00DF1A1B">
      <w:pPr>
        <w:pStyle w:val="ListBullet2"/>
      </w:pPr>
      <w:r w:rsidRPr="00DF1A1B">
        <w:t>urticaria (hives)</w:t>
      </w:r>
    </w:p>
    <w:p w:rsidR="00000000" w:rsidRPr="00DF1A1B" w:rsidP="00DF1A1B">
      <w:pPr>
        <w:pStyle w:val="ListBullet2"/>
      </w:pPr>
      <w:r w:rsidRPr="00DF1A1B">
        <w:t>nausea and vomiting</w:t>
      </w:r>
    </w:p>
    <w:p w:rsidR="00000000" w:rsidRPr="00DF1A1B" w:rsidP="00DF1A1B">
      <w:pPr>
        <w:pStyle w:val="ListBullet2"/>
      </w:pPr>
      <w:r w:rsidRPr="00DF1A1B">
        <w:t>headache</w:t>
      </w:r>
    </w:p>
    <w:p w:rsidR="00000000" w:rsidRPr="00DF1A1B" w:rsidP="00DF1A1B">
      <w:pPr>
        <w:pStyle w:val="ListBullet2"/>
      </w:pPr>
      <w:r w:rsidRPr="00DF1A1B">
        <w:t>flushing, chills or fever</w:t>
      </w:r>
    </w:p>
    <w:p w:rsidR="00000000" w:rsidRPr="00DF1A1B" w:rsidP="00DF1A1B">
      <w:pPr>
        <w:pStyle w:val="ListBullet2"/>
      </w:pPr>
      <w:r w:rsidRPr="00DF1A1B">
        <w:t>anxiety</w:t>
      </w:r>
    </w:p>
    <w:p w:rsidR="00000000" w:rsidRPr="00DF1A1B" w:rsidP="00DF1A1B">
      <w:pPr>
        <w:pStyle w:val="ListBullet2"/>
      </w:pPr>
      <w:r w:rsidRPr="00DF1A1B">
        <w:t>tachycardia</w:t>
      </w:r>
    </w:p>
    <w:p w:rsidR="00000000" w:rsidRPr="00DF1A1B" w:rsidP="00DF1A1B">
      <w:pPr>
        <w:pStyle w:val="ListBullet2"/>
      </w:pPr>
      <w:r w:rsidRPr="00DF1A1B">
        <w:t>wheezing, progressing to cyanosis</w:t>
      </w:r>
    </w:p>
    <w:p w:rsidR="00000000" w:rsidRPr="00DF1A1B" w:rsidP="00DF1A1B">
      <w:pPr>
        <w:pStyle w:val="ListBullet2"/>
      </w:pPr>
      <w:r w:rsidRPr="00DF1A1B">
        <w:t>haematuria</w:t>
      </w:r>
    </w:p>
    <w:p w:rsidR="00000000" w:rsidRPr="00DF1A1B" w:rsidP="00DF1A1B">
      <w:pPr>
        <w:pStyle w:val="ListBullet2"/>
      </w:pPr>
      <w:r w:rsidRPr="00DF1A1B">
        <w:t>anaphylactic reaction or shock</w:t>
      </w:r>
    </w:p>
    <w:p w:rsidR="00000000" w:rsidRPr="00DF1A1B" w:rsidP="00DF1A1B">
      <w:pPr>
        <w:pStyle w:val="ListBullet2"/>
      </w:pPr>
      <w:r w:rsidRPr="00DF1A1B">
        <w:t>cardiac arrest</w:t>
      </w:r>
    </w:p>
    <w:p w:rsidR="00000000" w:rsidRPr="00DF1A1B" w:rsidP="00DF1A1B">
      <w:pPr>
        <w:pStyle w:val="ListBullet2"/>
      </w:pPr>
      <w:r w:rsidRPr="00DF1A1B">
        <w:t>death</w:t>
      </w:r>
    </w:p>
    <w:p w:rsidR="00000000" w:rsidRPr="00DF1A1B" w:rsidP="00DF1A1B">
      <w:pPr>
        <w:pStyle w:val="ListBullet"/>
      </w:pPr>
      <w:r w:rsidRPr="00DF1A1B">
        <w:t xml:space="preserve">how to transport, store, handle, check and dispose blood and blood products safely </w:t>
      </w:r>
    </w:p>
    <w:p w:rsidR="00000000" w:rsidRPr="00DF1A1B" w:rsidP="00DF1A1B">
      <w:pPr>
        <w:pStyle w:val="ListBullet"/>
      </w:pPr>
      <w:r w:rsidRPr="00DF1A1B">
        <w:t>‘Rights of medication’ - the</w:t>
      </w:r>
      <w:r w:rsidRPr="00DF1A1B">
        <w:t xml:space="preserve"> right medication (drug, medication, medicines), right dose, right prescription (documentation), right route, right time, right person, right expiration date, right to refuse </w:t>
      </w:r>
    </w:p>
    <w:p w:rsidR="00000000" w:rsidRPr="00DF1A1B" w:rsidP="00DF1A1B">
      <w:pPr>
        <w:pStyle w:val="ListBullet"/>
      </w:pPr>
      <w:r w:rsidRPr="00DF1A1B">
        <w:t>how medication is administered via the following routes or methods:</w:t>
      </w:r>
    </w:p>
    <w:p w:rsidR="00000000" w:rsidRPr="00DF1A1B" w:rsidP="00DF1A1B">
      <w:pPr>
        <w:pStyle w:val="ListBullet2"/>
      </w:pPr>
      <w:r w:rsidRPr="00DF1A1B">
        <w:t>oral</w:t>
      </w:r>
    </w:p>
    <w:p w:rsidR="00000000" w:rsidRPr="00DF1A1B" w:rsidP="00DF1A1B">
      <w:pPr>
        <w:pStyle w:val="ListBullet2"/>
      </w:pPr>
      <w:r w:rsidRPr="00DF1A1B">
        <w:t>sublin</w:t>
      </w:r>
      <w:r w:rsidRPr="00DF1A1B">
        <w:t>gual, buccal</w:t>
      </w:r>
    </w:p>
    <w:p w:rsidR="00000000" w:rsidRPr="00DF1A1B" w:rsidP="00DF1A1B">
      <w:pPr>
        <w:pStyle w:val="ListBullet2"/>
      </w:pPr>
      <w:r w:rsidRPr="00DF1A1B">
        <w:t xml:space="preserve">dry powder inhalers </w:t>
      </w:r>
    </w:p>
    <w:p w:rsidR="00000000" w:rsidRPr="00DF1A1B" w:rsidP="00DF1A1B">
      <w:pPr>
        <w:pStyle w:val="ListBullet2"/>
      </w:pPr>
      <w:r w:rsidRPr="00DF1A1B">
        <w:t xml:space="preserve">metered dose, spacer inhalers </w:t>
      </w:r>
    </w:p>
    <w:p w:rsidR="00000000" w:rsidRPr="00DF1A1B" w:rsidP="00DF1A1B">
      <w:pPr>
        <w:pStyle w:val="ListBullet2"/>
      </w:pPr>
      <w:r w:rsidRPr="00DF1A1B">
        <w:t>nebulisers</w:t>
      </w:r>
    </w:p>
    <w:p w:rsidR="00000000" w:rsidRPr="00DF1A1B" w:rsidP="00DF1A1B">
      <w:pPr>
        <w:pStyle w:val="ListBullet2"/>
      </w:pPr>
      <w:r w:rsidRPr="00DF1A1B">
        <w:t>oxygen therapy</w:t>
      </w:r>
    </w:p>
    <w:p w:rsidR="00000000" w:rsidRPr="00DF1A1B" w:rsidP="00DF1A1B">
      <w:pPr>
        <w:pStyle w:val="ListBullet2"/>
      </w:pPr>
      <w:r w:rsidRPr="00DF1A1B">
        <w:t>subcutaneous injection</w:t>
      </w:r>
    </w:p>
    <w:p w:rsidR="00000000" w:rsidRPr="00DF1A1B" w:rsidP="00DF1A1B">
      <w:pPr>
        <w:pStyle w:val="ListBullet2"/>
      </w:pPr>
      <w:r w:rsidRPr="00DF1A1B">
        <w:t>intramuscular injections</w:t>
      </w:r>
    </w:p>
    <w:p w:rsidR="00000000" w:rsidRPr="00DF1A1B" w:rsidP="00DF1A1B">
      <w:pPr>
        <w:pStyle w:val="ListBullet2"/>
      </w:pPr>
      <w:r w:rsidRPr="00DF1A1B">
        <w:t>IV injections</w:t>
      </w:r>
    </w:p>
    <w:p w:rsidR="00000000" w:rsidRPr="00DF1A1B" w:rsidP="00DF1A1B">
      <w:pPr>
        <w:pStyle w:val="ListBullet2"/>
      </w:pPr>
      <w:r w:rsidRPr="00DF1A1B">
        <w:t>Z-track injections</w:t>
      </w:r>
    </w:p>
    <w:p w:rsidR="00000000" w:rsidRPr="00DF1A1B" w:rsidP="00DF1A1B">
      <w:pPr>
        <w:pStyle w:val="ListBullet2"/>
      </w:pPr>
      <w:r w:rsidRPr="00DF1A1B">
        <w:t>peripheral IV infusion, cannulation fluid</w:t>
      </w:r>
    </w:p>
    <w:p w:rsidR="00000000" w:rsidRPr="00DF1A1B" w:rsidP="00DF1A1B">
      <w:pPr>
        <w:pStyle w:val="ListBullet2"/>
      </w:pPr>
      <w:r w:rsidRPr="00DF1A1B">
        <w:t>enteral administration - Percutaneous Gastrostomy (PEG) as well as nasogastric tubes</w:t>
      </w:r>
    </w:p>
    <w:p w:rsidR="00000000" w:rsidRPr="00DF1A1B" w:rsidP="00DF1A1B">
      <w:pPr>
        <w:pStyle w:val="ListBullet2"/>
      </w:pPr>
      <w:r w:rsidRPr="00DF1A1B">
        <w:t>intranasal, including nebulised medications</w:t>
      </w:r>
    </w:p>
    <w:p w:rsidR="00000000" w:rsidRPr="00DF1A1B" w:rsidP="00DF1A1B">
      <w:pPr>
        <w:pStyle w:val="ListBullet2"/>
      </w:pPr>
      <w:r w:rsidRPr="00DF1A1B">
        <w:t>ocular</w:t>
      </w:r>
    </w:p>
    <w:p w:rsidR="00000000" w:rsidRPr="00DF1A1B" w:rsidP="00DF1A1B">
      <w:pPr>
        <w:pStyle w:val="ListBullet2"/>
      </w:pPr>
      <w:r w:rsidRPr="00DF1A1B">
        <w:t>rectal</w:t>
      </w:r>
    </w:p>
    <w:p w:rsidR="00000000" w:rsidRPr="00DF1A1B" w:rsidP="00DF1A1B">
      <w:pPr>
        <w:pStyle w:val="ListBullet2"/>
      </w:pPr>
      <w:r w:rsidRPr="00DF1A1B">
        <w:t>subcutaneous, intramuscular routes</w:t>
      </w:r>
    </w:p>
    <w:p w:rsidR="00000000" w:rsidRPr="00DF1A1B" w:rsidP="00DF1A1B">
      <w:pPr>
        <w:pStyle w:val="ListBullet2"/>
      </w:pPr>
      <w:r w:rsidRPr="00DF1A1B">
        <w:t>sub-cutaneous injection using pre-loaded syringes or pens</w:t>
      </w:r>
    </w:p>
    <w:p w:rsidR="00000000" w:rsidRPr="00DF1A1B" w:rsidP="00DF1A1B">
      <w:pPr>
        <w:pStyle w:val="ListBullet2"/>
      </w:pPr>
      <w:r w:rsidRPr="00DF1A1B">
        <w:t>topical, including t</w:t>
      </w:r>
      <w:r w:rsidRPr="00DF1A1B">
        <w:t>ransdermal</w:t>
      </w:r>
    </w:p>
    <w:p w:rsidR="00000000" w:rsidRPr="00DF1A1B" w:rsidP="00DF1A1B">
      <w:pPr>
        <w:pStyle w:val="ListBullet2"/>
      </w:pPr>
      <w:r w:rsidRPr="00DF1A1B">
        <w:t>vaginal</w:t>
      </w:r>
    </w:p>
    <w:p w:rsidR="00000000" w:rsidRPr="00DF1A1B" w:rsidP="00DF1A1B">
      <w:pPr>
        <w:pStyle w:val="ListBullet2"/>
      </w:pPr>
      <w:r w:rsidRPr="00DF1A1B">
        <w:t>ventrogluteal injection technique</w:t>
      </w:r>
    </w:p>
    <w:p w:rsidR="00000000" w:rsidRPr="00DF1A1B" w:rsidP="00DF1A1B">
      <w:pPr>
        <w:pStyle w:val="ListBullet"/>
      </w:pPr>
      <w:r w:rsidRPr="00DF1A1B">
        <w:t>IV medication administration methods including:</w:t>
      </w:r>
    </w:p>
    <w:p w:rsidR="00000000" w:rsidRPr="00DF1A1B" w:rsidP="00DF1A1B">
      <w:pPr>
        <w:pStyle w:val="ListBullet2"/>
      </w:pPr>
      <w:r w:rsidRPr="00DF1A1B">
        <w:t>bolus</w:t>
      </w:r>
    </w:p>
    <w:p w:rsidR="00000000" w:rsidRPr="00DF1A1B" w:rsidP="00DF1A1B">
      <w:pPr>
        <w:pStyle w:val="ListBullet2"/>
      </w:pPr>
      <w:r w:rsidRPr="00DF1A1B">
        <w:t>gravity</w:t>
      </w:r>
    </w:p>
    <w:p w:rsidR="00000000" w:rsidRPr="00DF1A1B" w:rsidP="00DF1A1B">
      <w:pPr>
        <w:pStyle w:val="ListBullet2"/>
      </w:pPr>
      <w:r w:rsidRPr="00DF1A1B">
        <w:t>electronic pump infusion</w:t>
      </w:r>
    </w:p>
    <w:p w:rsidR="00000000" w:rsidRPr="00DF1A1B" w:rsidP="00DF1A1B">
      <w:pPr>
        <w:pStyle w:val="ListBullet2"/>
      </w:pPr>
      <w:r w:rsidRPr="00DF1A1B">
        <w:t>via burette</w:t>
      </w:r>
    </w:p>
    <w:p w:rsidR="00000000" w:rsidRPr="00DF1A1B" w:rsidP="00DF1A1B">
      <w:pPr>
        <w:pStyle w:val="ListBullet2"/>
      </w:pPr>
      <w:r w:rsidRPr="00DF1A1B">
        <w:t>IV piggyback, tandem</w:t>
      </w:r>
    </w:p>
    <w:p w:rsidR="00000000" w:rsidRPr="00DF1A1B" w:rsidP="00DF1A1B">
      <w:pPr>
        <w:pStyle w:val="ListBullet2"/>
      </w:pPr>
      <w:r w:rsidRPr="00DF1A1B">
        <w:t>syringe driver</w:t>
      </w:r>
    </w:p>
    <w:p w:rsidR="00000000" w:rsidRPr="00DF1A1B" w:rsidP="00DF1A1B">
      <w:pPr>
        <w:pStyle w:val="ListBullet2"/>
      </w:pPr>
      <w:r w:rsidRPr="00DF1A1B">
        <w:t>sub-cut lines</w:t>
      </w:r>
    </w:p>
    <w:p w:rsidR="00000000" w:rsidRPr="00DF1A1B" w:rsidP="00DF1A1B">
      <w:pPr>
        <w:pStyle w:val="ListBullet"/>
      </w:pPr>
      <w:r w:rsidRPr="00DF1A1B">
        <w:t>pathophysiology related to medicine groups including but not limited to:</w:t>
      </w:r>
    </w:p>
    <w:tbl>
      <w:tblPr>
        <w:tblW w:w="0" w:type="auto"/>
        <w:tblInd w:w="360" w:type="dxa"/>
        <w:tblLayout w:type="fixed"/>
        <w:tblCellMar>
          <w:left w:w="62" w:type="dxa"/>
          <w:right w:w="62" w:type="dxa"/>
        </w:tblCellMar>
        <w:tblLook w:val="0000"/>
      </w:tblPr>
      <w:tblGrid>
        <w:gridCol w:w="2297"/>
        <w:gridCol w:w="2693"/>
      </w:tblGrid>
      <w:tr w:rsidTr="00DF1A1B">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Anaesthetics</w:t>
            </w:r>
          </w:p>
          <w:p w:rsidR="00000000" w:rsidRPr="00DF1A1B" w:rsidP="00DF1A1B">
            <w:pPr>
              <w:pStyle w:val="BodyText"/>
            </w:pPr>
            <w:r w:rsidRPr="00DF1A1B">
              <w:t>Analgesia</w:t>
            </w:r>
          </w:p>
          <w:p w:rsidR="00000000" w:rsidRPr="00DF1A1B" w:rsidP="00DF1A1B">
            <w:pPr>
              <w:pStyle w:val="BodyText"/>
            </w:pPr>
            <w:r w:rsidRPr="00DF1A1B">
              <w:t>Antacids</w:t>
            </w:r>
          </w:p>
          <w:p w:rsidR="00000000" w:rsidRPr="00DF1A1B" w:rsidP="00DF1A1B">
            <w:pPr>
              <w:pStyle w:val="BodyText"/>
            </w:pPr>
            <w:r w:rsidRPr="00DF1A1B">
              <w:t>Antianginals</w:t>
            </w:r>
          </w:p>
          <w:p w:rsidR="00000000" w:rsidRPr="00DF1A1B" w:rsidP="00DF1A1B">
            <w:pPr>
              <w:pStyle w:val="BodyText"/>
            </w:pPr>
            <w:r w:rsidRPr="00DF1A1B">
              <w:t>antianxiety</w:t>
            </w:r>
          </w:p>
          <w:p w:rsidR="00000000" w:rsidRPr="00DF1A1B" w:rsidP="00DF1A1B">
            <w:pPr>
              <w:pStyle w:val="BodyText"/>
            </w:pPr>
            <w:r w:rsidRPr="00DF1A1B">
              <w:t>Antiarrhythmics</w:t>
            </w:r>
          </w:p>
          <w:p w:rsidR="00000000" w:rsidRPr="00DF1A1B" w:rsidP="00DF1A1B">
            <w:pPr>
              <w:pStyle w:val="BodyText"/>
            </w:pPr>
            <w:r w:rsidRPr="00DF1A1B">
              <w:t>Antibiotics</w:t>
            </w:r>
          </w:p>
          <w:p w:rsidR="00000000" w:rsidRPr="00DF1A1B" w:rsidP="00DF1A1B">
            <w:pPr>
              <w:pStyle w:val="BodyText"/>
            </w:pPr>
            <w:r w:rsidRPr="00DF1A1B">
              <w:t>Anticholinergics</w:t>
            </w:r>
          </w:p>
          <w:p w:rsidR="00000000" w:rsidP="00DF1A1B">
            <w:pPr>
              <w:pStyle w:val="BodyText"/>
              <w:rPr>
                <w:lang w:val="en-NZ"/>
              </w:rPr>
            </w:pPr>
            <w:r w:rsidRPr="00DF1A1B">
              <w:t>Anticoagulants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 xml:space="preserve">Anticonvulsants </w:t>
            </w:r>
          </w:p>
          <w:p w:rsidR="00000000" w:rsidRPr="00DF1A1B" w:rsidP="00DF1A1B">
            <w:pPr>
              <w:pStyle w:val="BodyText"/>
            </w:pPr>
            <w:r w:rsidRPr="00DF1A1B">
              <w:t>Antidepressants</w:t>
            </w:r>
          </w:p>
          <w:p w:rsidR="00000000" w:rsidRPr="00DF1A1B" w:rsidP="00DF1A1B">
            <w:pPr>
              <w:pStyle w:val="BodyText"/>
            </w:pPr>
            <w:r w:rsidRPr="00DF1A1B">
              <w:t>Antidiarrhoeals</w:t>
            </w:r>
          </w:p>
          <w:p w:rsidR="00000000" w:rsidRPr="00DF1A1B" w:rsidP="00DF1A1B">
            <w:pPr>
              <w:pStyle w:val="BodyText"/>
            </w:pPr>
            <w:r w:rsidRPr="00DF1A1B">
              <w:t>Antiemetics</w:t>
            </w:r>
          </w:p>
          <w:p w:rsidR="00000000" w:rsidRPr="00DF1A1B" w:rsidP="00DF1A1B">
            <w:pPr>
              <w:pStyle w:val="BodyText"/>
            </w:pPr>
            <w:r w:rsidRPr="00DF1A1B">
              <w:t>Antifungals</w:t>
            </w:r>
          </w:p>
          <w:p w:rsidR="00000000" w:rsidRPr="00DF1A1B" w:rsidP="00DF1A1B">
            <w:pPr>
              <w:pStyle w:val="BodyText"/>
            </w:pPr>
            <w:r w:rsidRPr="00DF1A1B">
              <w:t>Antihistamines</w:t>
            </w:r>
          </w:p>
          <w:p w:rsidR="00000000" w:rsidRPr="00DF1A1B" w:rsidP="00DF1A1B">
            <w:pPr>
              <w:pStyle w:val="BodyText"/>
            </w:pPr>
            <w:r w:rsidRPr="00DF1A1B">
              <w:t>Antihypertentives</w:t>
            </w:r>
          </w:p>
          <w:p w:rsidR="00000000" w:rsidP="00DF1A1B">
            <w:pPr>
              <w:pStyle w:val="BodyText"/>
              <w:rPr>
                <w:lang w:val="en-NZ"/>
              </w:rPr>
            </w:pPr>
            <w:r w:rsidRPr="00DF1A1B">
              <w:t>Anti-inflammatory</w:t>
            </w:r>
          </w:p>
        </w:tc>
      </w:tr>
      <w:tr w:rsidTr="00DF1A1B">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 xml:space="preserve">Antineoplastics </w:t>
            </w:r>
          </w:p>
          <w:p w:rsidR="00000000" w:rsidRPr="00DF1A1B" w:rsidP="00DF1A1B">
            <w:pPr>
              <w:pStyle w:val="BodyText"/>
            </w:pPr>
            <w:r w:rsidRPr="00DF1A1B">
              <w:t xml:space="preserve">Antiparkinsonion </w:t>
            </w:r>
          </w:p>
          <w:p w:rsidR="00000000" w:rsidRPr="00DF1A1B" w:rsidP="00DF1A1B">
            <w:pPr>
              <w:pStyle w:val="BodyText"/>
            </w:pPr>
            <w:r w:rsidRPr="00DF1A1B">
              <w:t>Antipruritic</w:t>
            </w:r>
          </w:p>
          <w:p w:rsidR="00000000" w:rsidRPr="00DF1A1B" w:rsidP="00DF1A1B">
            <w:pPr>
              <w:pStyle w:val="BodyText"/>
            </w:pPr>
            <w:r w:rsidRPr="00DF1A1B">
              <w:t>Antipsychotics</w:t>
            </w:r>
          </w:p>
          <w:p w:rsidR="00000000" w:rsidRPr="00DF1A1B" w:rsidP="00DF1A1B">
            <w:pPr>
              <w:pStyle w:val="BodyText"/>
            </w:pPr>
            <w:r w:rsidRPr="00DF1A1B">
              <w:t>Antiseptics</w:t>
            </w:r>
          </w:p>
          <w:p w:rsidR="00000000" w:rsidRPr="00DF1A1B" w:rsidP="00DF1A1B">
            <w:pPr>
              <w:pStyle w:val="BodyText"/>
            </w:pPr>
            <w:r w:rsidRPr="00DF1A1B">
              <w:t>Antiulcer</w:t>
            </w:r>
          </w:p>
          <w:p w:rsidR="00000000" w:rsidRPr="00DF1A1B" w:rsidP="00DF1A1B">
            <w:pPr>
              <w:pStyle w:val="BodyText"/>
            </w:pPr>
            <w:r w:rsidRPr="00DF1A1B">
              <w:t>Antivirals</w:t>
            </w:r>
          </w:p>
          <w:p w:rsidR="00000000" w:rsidP="00DF1A1B">
            <w:pPr>
              <w:pStyle w:val="BodyText"/>
              <w:rPr>
                <w:lang w:val="en-NZ"/>
              </w:rPr>
            </w:pPr>
            <w:r w:rsidRPr="00DF1A1B">
              <w:t>Anxiolytics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Hormones</w:t>
            </w:r>
          </w:p>
          <w:p w:rsidR="00000000" w:rsidRPr="00DF1A1B" w:rsidP="00DF1A1B">
            <w:pPr>
              <w:pStyle w:val="BodyText"/>
            </w:pPr>
            <w:r w:rsidRPr="00DF1A1B">
              <w:t>Hypnotics, sedatives</w:t>
            </w:r>
          </w:p>
          <w:p w:rsidR="00000000" w:rsidRPr="00DF1A1B" w:rsidP="00DF1A1B">
            <w:pPr>
              <w:pStyle w:val="BodyText"/>
            </w:pPr>
            <w:r w:rsidRPr="00DF1A1B">
              <w:t>Hypoglycaemics</w:t>
            </w:r>
          </w:p>
          <w:p w:rsidR="00000000" w:rsidP="00DF1A1B">
            <w:pPr>
              <w:pStyle w:val="BodyText"/>
              <w:rPr>
                <w:lang w:val="en-NZ"/>
              </w:rPr>
            </w:pPr>
            <w:r w:rsidRPr="00DF1A1B">
              <w:t>Insulin</w:t>
            </w:r>
          </w:p>
        </w:tc>
      </w:tr>
      <w:tr w:rsidTr="00DF1A1B">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Beta-blockers</w:t>
            </w:r>
          </w:p>
          <w:p w:rsidR="00000000" w:rsidP="00DF1A1B">
            <w:pPr>
              <w:pStyle w:val="BodyText"/>
              <w:rPr>
                <w:lang w:val="en-NZ"/>
              </w:rPr>
            </w:pPr>
            <w:r w:rsidRPr="00DF1A1B">
              <w:t>Bronchodilators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Electrolyte solutions</w:t>
            </w:r>
          </w:p>
          <w:p w:rsidR="00000000" w:rsidP="00DF1A1B">
            <w:pPr>
              <w:pStyle w:val="BodyText"/>
              <w:rPr>
                <w:lang w:val="en-NZ"/>
              </w:rPr>
            </w:pPr>
          </w:p>
        </w:tc>
      </w:tr>
      <w:tr w:rsidTr="00DF1A1B">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Laxatives/aperients</w:t>
            </w:r>
          </w:p>
          <w:p w:rsidR="00000000">
            <w:pPr>
              <w:pStyle w:val="BodyText"/>
              <w:keepLines w:val="0"/>
              <w:rPr>
                <w:rFonts w:ascii="Tahoma" w:hAnsi="Tahoma"/>
                <w:color w:val="000000"/>
                <w:sz w:val="20"/>
                <w:lang w:val="en-NZ"/>
              </w:rPr>
            </w:pP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 xml:space="preserve">Ophthalmic, otic </w:t>
            </w:r>
          </w:p>
          <w:p w:rsidR="00000000" w:rsidP="00DF1A1B">
            <w:pPr>
              <w:pStyle w:val="BodyText"/>
              <w:rPr>
                <w:lang w:val="en-NZ"/>
              </w:rPr>
            </w:pPr>
            <w:r w:rsidRPr="00DF1A1B">
              <w:t>nasal medications</w:t>
            </w:r>
          </w:p>
        </w:tc>
      </w:tr>
      <w:tr w:rsidTr="00DF1A1B">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Contraceptives</w:t>
            </w:r>
          </w:p>
          <w:p w:rsidR="00000000" w:rsidP="00DF1A1B">
            <w:pPr>
              <w:pStyle w:val="BodyText"/>
              <w:rPr>
                <w:lang w:val="en-NZ"/>
              </w:rPr>
            </w:pPr>
            <w:r w:rsidRPr="00DF1A1B">
              <w:t>Corticosteroids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A1B">
            <w:pPr>
              <w:pStyle w:val="BodyText"/>
              <w:rPr>
                <w:lang w:val="en-NZ"/>
              </w:rPr>
            </w:pPr>
            <w:r w:rsidRPr="00DF1A1B">
              <w:t>Diuretics</w:t>
            </w:r>
          </w:p>
        </w:tc>
      </w:tr>
      <w:tr w:rsidTr="00DF1A1B">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Narcotic analgesia</w:t>
            </w:r>
          </w:p>
          <w:p w:rsidR="00000000" w:rsidP="00DF1A1B">
            <w:pPr>
              <w:pStyle w:val="BodyText"/>
              <w:rPr>
                <w:lang w:val="en-NZ"/>
              </w:rPr>
            </w:pPr>
            <w:r w:rsidRPr="00DF1A1B">
              <w:t>Neuroleptics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A1B" w:rsidP="00DF1A1B">
            <w:pPr>
              <w:pStyle w:val="BodyText"/>
            </w:pPr>
            <w:r w:rsidRPr="00DF1A1B">
              <w:t>Vitamins</w:t>
            </w:r>
          </w:p>
          <w:p w:rsidR="00000000" w:rsidRPr="00DF1A1B" w:rsidP="00DF1A1B">
            <w:pPr>
              <w:pStyle w:val="BodyText"/>
            </w:pPr>
          </w:p>
        </w:tc>
      </w:tr>
    </w:tbl>
    <w:p w:rsidR="00000000" w:rsidRPr="00DF1A1B" w:rsidP="00DF1A1B">
      <w:pPr>
        <w:pStyle w:val="BodyText"/>
      </w:pPr>
    </w:p>
    <w:p w:rsidR="00000000" w:rsidRPr="00DF1A1B" w:rsidP="00DF1A1B">
      <w:pPr>
        <w:pStyle w:val="ListBullet"/>
      </w:pPr>
      <w:r w:rsidRPr="00DF1A1B">
        <w:t>factors to consider when calculating medication dosages including:</w:t>
      </w:r>
    </w:p>
    <w:p w:rsidR="00000000" w:rsidRPr="00DF1A1B" w:rsidP="00DF1A1B">
      <w:pPr>
        <w:pStyle w:val="ListBullet2"/>
      </w:pPr>
      <w:r w:rsidRPr="00DF1A1B">
        <w:t>calculation formulae</w:t>
      </w:r>
    </w:p>
    <w:p w:rsidR="00000000" w:rsidRPr="00DF1A1B" w:rsidP="00DF1A1B">
      <w:pPr>
        <w:pStyle w:val="ListBullet2"/>
      </w:pPr>
      <w:r w:rsidRPr="00DF1A1B">
        <w:t>calculation of dosages of injectable drugs including liquid, solid unit dosages</w:t>
      </w:r>
    </w:p>
    <w:p w:rsidR="00000000" w:rsidRPr="00DF1A1B" w:rsidP="00DF1A1B">
      <w:pPr>
        <w:pStyle w:val="ListBullet2"/>
      </w:pPr>
      <w:r w:rsidRPr="00DF1A1B">
        <w:t>flow rate drops per minute</w:t>
      </w:r>
    </w:p>
    <w:p w:rsidR="00000000" w:rsidRPr="00DF1A1B" w:rsidP="00DF1A1B">
      <w:pPr>
        <w:pStyle w:val="ListBullet2"/>
      </w:pPr>
      <w:r w:rsidRPr="00DF1A1B">
        <w:t>flow rate millilitres per hour</w:t>
      </w:r>
    </w:p>
    <w:p w:rsidR="00000000" w:rsidRPr="00DF1A1B" w:rsidP="00DF1A1B">
      <w:pPr>
        <w:pStyle w:val="ListBullet2"/>
      </w:pPr>
      <w:r w:rsidRPr="00DF1A1B">
        <w:t>paediatric dosage calculations - considering body weight, surface area and age-related dose reduction</w:t>
      </w:r>
    </w:p>
    <w:p w:rsidR="00000000" w:rsidRPr="00DF1A1B" w:rsidP="00DF1A1B">
      <w:pPr>
        <w:pStyle w:val="ListBullet2"/>
      </w:pPr>
      <w:r w:rsidRPr="00DF1A1B">
        <w:t>geriatric dosage calculations - considering body weight, surface area and age</w:t>
      </w:r>
    </w:p>
    <w:p w:rsidR="00000000" w:rsidRPr="00DF1A1B" w:rsidP="00DF1A1B">
      <w:pPr>
        <w:pStyle w:val="ListBullet2"/>
      </w:pPr>
      <w:r w:rsidRPr="00DF1A1B">
        <w:t>dose administration aids (DAAs) where dose is already calculated</w:t>
      </w:r>
    </w:p>
    <w:p w:rsidR="00000000" w:rsidRPr="00DF1A1B" w:rsidP="00DF1A1B">
      <w:pPr>
        <w:pStyle w:val="ListBullet"/>
      </w:pPr>
      <w:r w:rsidRPr="00DF1A1B">
        <w:t>organisati</w:t>
      </w:r>
      <w:r w:rsidRPr="00DF1A1B">
        <w:t>on policy and procedure for addressing medication errors</w:t>
      </w:r>
    </w:p>
    <w:p w:rsidR="00000000" w:rsidRPr="00DF1A1B" w:rsidP="00DF1A1B">
      <w:pPr>
        <w:pStyle w:val="ListBullet"/>
      </w:pPr>
      <w:r w:rsidRPr="00DF1A1B">
        <w:t>drugs commonly used for fluid and electrolyte imbalance:</w:t>
      </w:r>
    </w:p>
    <w:p w:rsidR="00000000" w:rsidRPr="00DF1A1B" w:rsidP="00DF1A1B">
      <w:pPr>
        <w:pStyle w:val="ListBullet2"/>
      </w:pPr>
      <w:r w:rsidRPr="00DF1A1B">
        <w:t>acidifiers, alkalisers</w:t>
      </w:r>
    </w:p>
    <w:p w:rsidR="00000000" w:rsidRPr="00DF1A1B" w:rsidP="00DF1A1B">
      <w:pPr>
        <w:pStyle w:val="ListBullet2"/>
      </w:pPr>
      <w:r w:rsidRPr="00DF1A1B">
        <w:t>diuretics</w:t>
      </w:r>
    </w:p>
    <w:p w:rsidR="00000000" w:rsidRPr="00DF1A1B" w:rsidP="00DF1A1B">
      <w:pPr>
        <w:pStyle w:val="ListBullet2"/>
      </w:pPr>
      <w:r w:rsidRPr="00DF1A1B">
        <w:t>electrolytes</w:t>
      </w:r>
    </w:p>
    <w:p w:rsidR="00000000" w:rsidRPr="00DF1A1B" w:rsidP="00DF1A1B">
      <w:pPr>
        <w:pStyle w:val="ListBullet2"/>
      </w:pPr>
      <w:r w:rsidRPr="00DF1A1B">
        <w:t>replacement solutions.</w:t>
      </w:r>
    </w:p>
    <w:p w:rsidR="00000000" w:rsidRPr="00DF1A1B" w:rsidP="00DF1A1B">
      <w:pPr>
        <w:pStyle w:val="AllowPageBreak"/>
      </w:pPr>
    </w:p>
    <w:p w:rsidR="00000000" w:rsidRPr="00DF1A1B" w:rsidP="00DF1A1B">
      <w:pPr>
        <w:pStyle w:val="Heading1"/>
      </w:pPr>
      <w:bookmarkStart w:id="4" w:name="O_820637"/>
      <w:bookmarkEnd w:id="4"/>
      <w:r w:rsidRPr="00DF1A1B">
        <w:t>Assessment Conditions</w:t>
      </w:r>
    </w:p>
    <w:p w:rsidR="00000000" w:rsidRPr="00DF1A1B" w:rsidP="0064231F">
      <w:pPr>
        <w:pStyle w:val="BodyText"/>
      </w:pPr>
      <w:r w:rsidRPr="00DF1A1B">
        <w:t>Skills must have been demonstrate</w:t>
      </w:r>
      <w:r w:rsidRPr="00DF1A1B">
        <w:t>d in the workplace or in a simulated environment as specified in the performance evidence. The requirement of the performance evidence to calculate medication with 100% accuracy and used the ‘Rights of Medication’ to administer medication must be demonstra</w:t>
      </w:r>
      <w:r w:rsidRPr="00DF1A1B">
        <w:t xml:space="preserve">ted using simulation before being demonstrated in the workplace and with members of the public. The following conditions must be met for this unit: </w:t>
      </w:r>
    </w:p>
    <w:p w:rsidR="00000000" w:rsidRPr="00DF1A1B" w:rsidP="00DF1A1B">
      <w:pPr>
        <w:pStyle w:val="ListBullet"/>
      </w:pPr>
      <w:r w:rsidRPr="00DF1A1B">
        <w:t>use of suitable facilities, equipment and resources in line with the Australian Nursing and Midwifery Accr</w:t>
      </w:r>
      <w:r w:rsidRPr="00DF1A1B">
        <w:t>editation Council’s Standards including:</w:t>
      </w:r>
    </w:p>
    <w:p w:rsidR="00000000" w:rsidRPr="00DF1A1B" w:rsidP="00DF1A1B">
      <w:pPr>
        <w:pStyle w:val="ListBullet2"/>
      </w:pPr>
      <w:r w:rsidRPr="00DF1A1B">
        <w:t>simulation manikins appropriate for the administration of medications via various routes including IV</w:t>
      </w:r>
    </w:p>
    <w:p w:rsidR="00000000" w:rsidRPr="00DF1A1B" w:rsidP="00DF1A1B">
      <w:pPr>
        <w:pStyle w:val="ListBullet2"/>
      </w:pPr>
      <w:r w:rsidRPr="00DF1A1B">
        <w:t>equipment for medication administration via various routes, including:</w:t>
      </w:r>
    </w:p>
    <w:p w:rsidR="00000000" w:rsidRPr="00DF1A1B" w:rsidP="00DF1A1B">
      <w:pPr>
        <w:pStyle w:val="ListBullet3"/>
      </w:pPr>
      <w:r w:rsidRPr="00DF1A1B">
        <w:t>pill cutter and pill crusher</w:t>
      </w:r>
    </w:p>
    <w:p w:rsidR="00000000" w:rsidRPr="00DF1A1B" w:rsidP="00DF1A1B">
      <w:pPr>
        <w:pStyle w:val="ListBullet3"/>
      </w:pPr>
      <w:r w:rsidRPr="00DF1A1B">
        <w:t>nebuliser</w:t>
      </w:r>
    </w:p>
    <w:p w:rsidR="00000000" w:rsidRPr="00DF1A1B" w:rsidP="00DF1A1B">
      <w:pPr>
        <w:pStyle w:val="ListBullet3"/>
      </w:pPr>
      <w:r w:rsidRPr="00DF1A1B">
        <w:t>Monthly Index of Medical Specialties (MIMS)</w:t>
      </w:r>
    </w:p>
    <w:p w:rsidR="00000000" w:rsidRPr="00DF1A1B" w:rsidP="00DF1A1B">
      <w:pPr>
        <w:pStyle w:val="ListBullet2"/>
      </w:pPr>
      <w:r w:rsidRPr="00DF1A1B">
        <w:t>samples of medications, including:</w:t>
      </w:r>
    </w:p>
    <w:p w:rsidR="00000000" w:rsidRPr="00DF1A1B" w:rsidP="00DF1A1B">
      <w:pPr>
        <w:pStyle w:val="ListBullet3"/>
      </w:pPr>
      <w:r w:rsidRPr="00DF1A1B">
        <w:t>tablets</w:t>
      </w:r>
    </w:p>
    <w:p w:rsidR="00000000" w:rsidRPr="00DF1A1B" w:rsidP="00DF1A1B">
      <w:pPr>
        <w:pStyle w:val="ListBullet3"/>
      </w:pPr>
      <w:r w:rsidRPr="00DF1A1B">
        <w:t>capsules</w:t>
      </w:r>
    </w:p>
    <w:p w:rsidR="00000000" w:rsidRPr="00DF1A1B" w:rsidP="00DF1A1B">
      <w:pPr>
        <w:pStyle w:val="ListBullet3"/>
      </w:pPr>
      <w:r w:rsidRPr="00DF1A1B">
        <w:t>drops</w:t>
      </w:r>
    </w:p>
    <w:p w:rsidR="00000000" w:rsidRPr="00DF1A1B" w:rsidP="00DF1A1B">
      <w:pPr>
        <w:pStyle w:val="ListBullet3"/>
      </w:pPr>
      <w:r w:rsidRPr="00DF1A1B">
        <w:t>enema</w:t>
      </w:r>
    </w:p>
    <w:p w:rsidR="00000000" w:rsidRPr="00DF1A1B" w:rsidP="00DF1A1B">
      <w:pPr>
        <w:pStyle w:val="ListBullet3"/>
      </w:pPr>
      <w:r w:rsidRPr="00DF1A1B">
        <w:t>inhalants</w:t>
      </w:r>
    </w:p>
    <w:p w:rsidR="00000000" w:rsidRPr="00DF1A1B" w:rsidP="00DF1A1B">
      <w:pPr>
        <w:pStyle w:val="ListBullet3"/>
      </w:pPr>
      <w:r w:rsidRPr="00DF1A1B">
        <w:t>liquid (ampoules, bottles, capsules)</w:t>
      </w:r>
    </w:p>
    <w:p w:rsidR="00000000" w:rsidRPr="00DF1A1B" w:rsidP="00DF1A1B">
      <w:pPr>
        <w:pStyle w:val="ListBullet3"/>
      </w:pPr>
      <w:r w:rsidRPr="00DF1A1B">
        <w:t>lotion and cream</w:t>
      </w:r>
    </w:p>
    <w:p w:rsidR="00000000" w:rsidRPr="00DF1A1B" w:rsidP="00DF1A1B">
      <w:pPr>
        <w:pStyle w:val="ListBullet3"/>
      </w:pPr>
      <w:r w:rsidRPr="00DF1A1B">
        <w:t>ointments</w:t>
      </w:r>
    </w:p>
    <w:p w:rsidR="00000000" w:rsidRPr="00DF1A1B" w:rsidP="00DF1A1B">
      <w:pPr>
        <w:pStyle w:val="ListBullet3"/>
      </w:pPr>
      <w:r w:rsidRPr="00DF1A1B">
        <w:t>patches</w:t>
      </w:r>
    </w:p>
    <w:p w:rsidR="00000000" w:rsidRPr="00DF1A1B" w:rsidP="00DF1A1B">
      <w:pPr>
        <w:pStyle w:val="ListBullet3"/>
      </w:pPr>
      <w:r w:rsidRPr="00DF1A1B">
        <w:t>powders</w:t>
      </w:r>
    </w:p>
    <w:p w:rsidR="00000000" w:rsidRPr="00DF1A1B" w:rsidP="00DF1A1B">
      <w:pPr>
        <w:pStyle w:val="ListBullet3"/>
      </w:pPr>
      <w:r w:rsidRPr="00DF1A1B">
        <w:t>wafers</w:t>
      </w:r>
    </w:p>
    <w:p w:rsidR="00000000" w:rsidRPr="00DF1A1B" w:rsidP="00DF1A1B">
      <w:pPr>
        <w:pStyle w:val="ListBullet3"/>
      </w:pPr>
      <w:r w:rsidRPr="00DF1A1B">
        <w:t>suppositories</w:t>
      </w:r>
    </w:p>
    <w:p w:rsidR="00000000" w:rsidRPr="00DF1A1B" w:rsidP="00DF1A1B">
      <w:pPr>
        <w:pStyle w:val="ListBullet3"/>
      </w:pPr>
      <w:r w:rsidRPr="00DF1A1B">
        <w:t xml:space="preserve">pre-loaded sub-cutaneous injections </w:t>
      </w:r>
    </w:p>
    <w:p w:rsidR="00000000" w:rsidRPr="00DF1A1B" w:rsidP="00DF1A1B">
      <w:pPr>
        <w:pStyle w:val="ListBullet2"/>
      </w:pPr>
      <w:r w:rsidRPr="00DF1A1B">
        <w:t>pharmacology resources for medication interactions</w:t>
      </w:r>
    </w:p>
    <w:p w:rsidR="00000000" w:rsidRPr="00DF1A1B" w:rsidP="00DF1A1B">
      <w:pPr>
        <w:pStyle w:val="ListBullet2"/>
      </w:pPr>
      <w:r w:rsidRPr="00DF1A1B">
        <w:t>equipment for IV therapy, including:</w:t>
      </w:r>
    </w:p>
    <w:p w:rsidR="00000000" w:rsidRPr="00DF1A1B" w:rsidP="00DF1A1B">
      <w:pPr>
        <w:pStyle w:val="ListBullet3"/>
      </w:pPr>
      <w:r w:rsidRPr="00DF1A1B">
        <w:t xml:space="preserve">variety of IV line sets for gravity infusion, blood and blood products, IV injections and electronic pump infusions </w:t>
      </w:r>
    </w:p>
    <w:p w:rsidR="00000000" w:rsidRPr="00DF1A1B" w:rsidP="00DF1A1B">
      <w:pPr>
        <w:pStyle w:val="ListBullet3"/>
      </w:pPr>
      <w:r w:rsidRPr="00DF1A1B">
        <w:t>syringe pump</w:t>
      </w:r>
    </w:p>
    <w:p w:rsidR="00000000" w:rsidRPr="00DF1A1B" w:rsidP="00DF1A1B">
      <w:pPr>
        <w:pStyle w:val="ListBullet2"/>
      </w:pPr>
      <w:r w:rsidRPr="00DF1A1B">
        <w:t>information and documentation such as medication charts on which the candidate bases the planning</w:t>
      </w:r>
    </w:p>
    <w:p w:rsidR="00000000" w:rsidRPr="00DF1A1B" w:rsidP="00DF1A1B">
      <w:pPr>
        <w:pStyle w:val="ListBullet2"/>
      </w:pPr>
      <w:r w:rsidRPr="00DF1A1B">
        <w:t>organisation policy and procedures on which the candidate bases the planning</w:t>
      </w:r>
    </w:p>
    <w:p w:rsidR="00000000" w:rsidRPr="00DF1A1B" w:rsidP="00DF1A1B">
      <w:pPr>
        <w:pStyle w:val="ListBullet"/>
      </w:pPr>
      <w:r w:rsidRPr="00DF1A1B">
        <w:t>modelling of industry operating conditions including access to real people for</w:t>
      </w:r>
      <w:r w:rsidRPr="00DF1A1B">
        <w:t xml:space="preserve"> simulations and scenarios in enrolled nursing work.</w:t>
      </w:r>
    </w:p>
    <w:p w:rsidR="00000000" w:rsidRPr="00DF1A1B" w:rsidP="00DF1A1B">
      <w:pPr>
        <w:pStyle w:val="BodyText"/>
      </w:pPr>
    </w:p>
    <w:p w:rsidR="00000000" w:rsidRPr="00DF1A1B" w:rsidP="0064231F">
      <w:pPr>
        <w:pStyle w:val="BodyText"/>
      </w:pPr>
      <w:r w:rsidRPr="00DF1A1B">
        <w:t>Assessors must satisfy the Standards for Registered Training Organisations (RTOs) 2015/AQTF mandatory competency requirements for assessors.</w:t>
      </w:r>
    </w:p>
    <w:p w:rsidR="00000000" w:rsidRPr="00DF1A1B" w:rsidP="0064231F">
      <w:pPr>
        <w:pStyle w:val="BodyText"/>
      </w:pPr>
      <w:r w:rsidRPr="00DF1A1B">
        <w:t>In addition, assessors must hold current registration as a registered nurse with Nursing and Midwifery Board of Australia.</w:t>
      </w:r>
    </w:p>
    <w:p w:rsidR="00000000" w:rsidRPr="00DF1A1B" w:rsidP="00DF1A1B">
      <w:pPr>
        <w:pStyle w:val="Heading1"/>
      </w:pPr>
      <w:bookmarkStart w:id="5" w:name="O_820640"/>
      <w:bookmarkEnd w:id="5"/>
      <w:r w:rsidRPr="00DF1A1B">
        <w:t>Links</w:t>
      </w:r>
    </w:p>
    <w:p w:rsidR="00000000" w:rsidRPr="00DF1A1B" w:rsidP="0064231F">
      <w:pPr>
        <w:pStyle w:val="BodyText"/>
      </w:pPr>
      <w:r w:rsidRPr="00DF1A1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460CE">
        <w:rPr>
          <w:rStyle w:val="Hyperlink"/>
        </w:rPr>
        <w:t>https://vetnet.gov.au/Pages/TrainingDocs.aspx?q=ced1390f-48d9-4ab0-bd50-b015e5485705</w:t>
      </w:r>
      <w:r>
        <w:fldChar w:fldCharType="end"/>
      </w:r>
    </w:p>
    <w:p w:rsidR="00000000" w:rsidRPr="00DF1A1B" w:rsidP="00DF1A1B"/>
    <w:sectPr w:rsidSect="00DF1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B" w:rsidRPr="0064231F" w:rsidP="00642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F" w:rsidP="00DF1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231F" w:rsidP="00DF1A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64231F" w:rsidP="00DF1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A1B" w:rsidRPr="0064231F" w:rsidP="00642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1F" w:rsidRPr="002D2AF8" w:rsidP="00DF1A1B">
    <w:pPr>
      <w:pStyle w:val="Header"/>
      <w:framePr w:wrap="around"/>
    </w:pPr>
    <w:r>
      <w:fldChar w:fldCharType="begin"/>
    </w:r>
    <w:r>
      <w:instrText xml:space="preserve"> TITLE   \* MERGEFORMAT </w:instrText>
    </w:r>
    <w:r>
      <w:fldChar w:fldCharType="separate"/>
    </w:r>
    <w:r>
      <w:t>Assessment Requirements for HLTENN007 Administer and monitor medicines and intravenous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64231F" w:rsidP="00DF1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29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A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6B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A1B"/>
    <w:pPr>
      <w:spacing w:before="360" w:after="60"/>
      <w:outlineLvl w:val="0"/>
    </w:pPr>
    <w:rPr>
      <w:sz w:val="32"/>
    </w:rPr>
  </w:style>
  <w:style w:type="paragraph" w:styleId="Heading2">
    <w:name w:val="heading 2"/>
    <w:basedOn w:val="HeadingBase"/>
    <w:next w:val="BodyText"/>
    <w:link w:val="Heading2Char"/>
    <w:qFormat/>
    <w:rsid w:val="00DF1A1B"/>
    <w:pPr>
      <w:keepLines/>
      <w:spacing w:before="240" w:after="120"/>
      <w:outlineLvl w:val="1"/>
    </w:pPr>
    <w:rPr>
      <w:sz w:val="28"/>
      <w:szCs w:val="40"/>
    </w:rPr>
  </w:style>
  <w:style w:type="paragraph" w:styleId="Heading3">
    <w:name w:val="heading 3"/>
    <w:basedOn w:val="HeadingBase"/>
    <w:next w:val="BodyText"/>
    <w:link w:val="Heading3Char"/>
    <w:qFormat/>
    <w:rsid w:val="00DF1A1B"/>
    <w:pPr>
      <w:spacing w:before="180" w:after="120"/>
      <w:outlineLvl w:val="2"/>
    </w:pPr>
    <w:rPr>
      <w:spacing w:val="-10"/>
      <w:kern w:val="32"/>
    </w:rPr>
  </w:style>
  <w:style w:type="paragraph" w:styleId="Heading4">
    <w:name w:val="heading 4"/>
    <w:basedOn w:val="HeadingBase"/>
    <w:next w:val="BodyText"/>
    <w:link w:val="Heading4Char"/>
    <w:qFormat/>
    <w:rsid w:val="00DF1A1B"/>
    <w:pPr>
      <w:spacing w:before="160" w:after="120"/>
      <w:outlineLvl w:val="3"/>
    </w:pPr>
    <w:rPr>
      <w:sz w:val="22"/>
    </w:rPr>
  </w:style>
  <w:style w:type="paragraph" w:styleId="Heading5">
    <w:name w:val="heading 5"/>
    <w:basedOn w:val="HeadingBase"/>
    <w:next w:val="Normal"/>
    <w:link w:val="Heading5Char"/>
    <w:qFormat/>
    <w:rsid w:val="00DF1A1B"/>
    <w:pPr>
      <w:spacing w:before="80"/>
      <w:outlineLvl w:val="4"/>
    </w:pPr>
    <w:rPr>
      <w:color w:val="918585"/>
      <w:sz w:val="20"/>
    </w:rPr>
  </w:style>
  <w:style w:type="paragraph" w:styleId="Heading6">
    <w:name w:val="heading 6"/>
    <w:basedOn w:val="HeadingBase"/>
    <w:next w:val="Normal"/>
    <w:link w:val="Heading6Char"/>
    <w:qFormat/>
    <w:rsid w:val="00DF1A1B"/>
    <w:pPr>
      <w:spacing w:before="60"/>
      <w:outlineLvl w:val="5"/>
    </w:pPr>
    <w:rPr>
      <w:color w:val="918585"/>
      <w:sz w:val="20"/>
    </w:rPr>
  </w:style>
  <w:style w:type="paragraph" w:styleId="Heading7">
    <w:name w:val="heading 7"/>
    <w:basedOn w:val="Normal"/>
    <w:next w:val="Normal"/>
    <w:link w:val="Heading7Char"/>
    <w:qFormat/>
    <w:rsid w:val="00DF1A1B"/>
    <w:pPr>
      <w:ind w:left="720"/>
      <w:outlineLvl w:val="6"/>
    </w:pPr>
    <w:rPr>
      <w:i/>
    </w:rPr>
  </w:style>
  <w:style w:type="paragraph" w:styleId="Heading8">
    <w:name w:val="heading 8"/>
    <w:basedOn w:val="Normal"/>
    <w:next w:val="Normal"/>
    <w:link w:val="Heading8Char"/>
    <w:qFormat/>
    <w:rsid w:val="00DF1A1B"/>
    <w:pPr>
      <w:ind w:left="720"/>
      <w:outlineLvl w:val="7"/>
    </w:pPr>
    <w:rPr>
      <w:i/>
    </w:rPr>
  </w:style>
  <w:style w:type="paragraph" w:styleId="Heading9">
    <w:name w:val="heading 9"/>
    <w:basedOn w:val="Normal"/>
    <w:next w:val="Normal"/>
    <w:link w:val="Heading9Char"/>
    <w:qFormat/>
    <w:rsid w:val="00DF1A1B"/>
    <w:pPr>
      <w:ind w:left="720"/>
      <w:outlineLvl w:val="8"/>
    </w:pPr>
    <w:rPr>
      <w:i/>
    </w:rPr>
  </w:style>
  <w:style w:type="character" w:default="1" w:styleId="DefaultParagraphFont">
    <w:name w:val="Default Paragraph Font"/>
    <w:uiPriority w:val="1"/>
    <w:unhideWhenUsed/>
    <w:rsid w:val="00DF1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A1B"/>
  </w:style>
  <w:style w:type="character" w:customStyle="1" w:styleId="Heading1Char">
    <w:name w:val="Heading 1 Char"/>
    <w:basedOn w:val="DefaultParagraphFont"/>
    <w:link w:val="Heading1"/>
    <w:rsid w:val="00DF1A1B"/>
    <w:rPr>
      <w:rFonts w:ascii="Times New Roman" w:eastAsia="Times New Roman" w:hAnsi="Times New Roman" w:cs="Times New Roman"/>
      <w:b/>
      <w:sz w:val="32"/>
      <w:szCs w:val="20"/>
      <w:lang w:eastAsia="en-US"/>
    </w:rPr>
  </w:style>
  <w:style w:type="paragraph" w:styleId="BodyText">
    <w:name w:val="Body Text"/>
    <w:basedOn w:val="Normal"/>
    <w:link w:val="BodyTextChar"/>
    <w:rsid w:val="00DF1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A1B"/>
    <w:rPr>
      <w:rFonts w:ascii="Times New Roman" w:eastAsia="Times New Roman" w:hAnsi="Times New Roman" w:cs="Times New Roman"/>
      <w:sz w:val="24"/>
      <w:lang w:eastAsia="en-US"/>
    </w:rPr>
  </w:style>
  <w:style w:type="paragraph" w:styleId="ListBullet">
    <w:name w:val="List Bullet"/>
    <w:basedOn w:val="List"/>
    <w:rsid w:val="00DF1A1B"/>
    <w:pPr>
      <w:numPr>
        <w:numId w:val="13"/>
      </w:numPr>
      <w:tabs>
        <w:tab w:val="clear" w:pos="340"/>
      </w:tabs>
      <w:spacing w:before="40" w:after="40"/>
    </w:pPr>
  </w:style>
  <w:style w:type="character" w:customStyle="1" w:styleId="SpecialBold">
    <w:name w:val="Special Bold"/>
    <w:basedOn w:val="DefaultParagraphFont"/>
    <w:rsid w:val="00DF1A1B"/>
    <w:rPr>
      <w:b/>
      <w:spacing w:val="0"/>
    </w:rPr>
  </w:style>
  <w:style w:type="paragraph" w:styleId="ListBullet2">
    <w:name w:val="List Bullet 2"/>
    <w:basedOn w:val="List2"/>
    <w:rsid w:val="00DF1A1B"/>
    <w:pPr>
      <w:numPr>
        <w:numId w:val="14"/>
      </w:numPr>
      <w:tabs>
        <w:tab w:val="clear" w:pos="680"/>
      </w:tabs>
    </w:pPr>
  </w:style>
  <w:style w:type="character" w:styleId="Emphasis">
    <w:name w:val="Emphasis"/>
    <w:basedOn w:val="DefaultParagraphFont"/>
    <w:qFormat/>
    <w:rsid w:val="00DF1A1B"/>
    <w:rPr>
      <w:i/>
    </w:rPr>
  </w:style>
  <w:style w:type="paragraph" w:customStyle="1" w:styleId="SuperHeading">
    <w:name w:val="SuperHeading"/>
    <w:basedOn w:val="Normal"/>
    <w:rsid w:val="00DF1A1B"/>
    <w:pPr>
      <w:spacing w:before="240" w:after="120"/>
      <w:outlineLvl w:val="0"/>
    </w:pPr>
    <w:rPr>
      <w:rFonts w:ascii="Times New Roman" w:hAnsi="Times New Roman"/>
      <w:b/>
      <w:sz w:val="32"/>
    </w:rPr>
  </w:style>
  <w:style w:type="paragraph" w:customStyle="1" w:styleId="AllowPageBreak">
    <w:name w:val="AllowPageBreak"/>
    <w:rsid w:val="00DF1A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1A1B"/>
    <w:pPr>
      <w:numPr>
        <w:numId w:val="3"/>
      </w:numPr>
      <w:tabs>
        <w:tab w:val="clear" w:pos="1021"/>
      </w:tabs>
      <w:ind w:left="1037" w:hanging="357"/>
    </w:pPr>
  </w:style>
  <w:style w:type="character" w:customStyle="1" w:styleId="Heading2Char">
    <w:name w:val="Heading 2 Char"/>
    <w:basedOn w:val="DefaultParagraphFont"/>
    <w:link w:val="Heading2"/>
    <w:rsid w:val="00DF1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A1B"/>
    <w:rPr>
      <w:rFonts w:ascii="Courier New" w:eastAsia="Times New Roman" w:hAnsi="Courier New" w:cs="Times New Roman"/>
      <w:i/>
      <w:szCs w:val="20"/>
      <w:lang w:eastAsia="en-US"/>
    </w:rPr>
  </w:style>
  <w:style w:type="paragraph" w:customStyle="1" w:styleId="HeadingBase">
    <w:name w:val="Heading Base"/>
    <w:rsid w:val="00DF1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A1B"/>
    <w:pPr>
      <w:tabs>
        <w:tab w:val="right" w:leader="dot" w:pos="9072"/>
      </w:tabs>
      <w:ind w:left="567"/>
    </w:pPr>
    <w:rPr>
      <w:szCs w:val="22"/>
    </w:rPr>
  </w:style>
  <w:style w:type="paragraph" w:customStyle="1" w:styleId="TOCBase">
    <w:name w:val="TOC Base"/>
    <w:rsid w:val="00DF1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A1B"/>
    <w:pPr>
      <w:tabs>
        <w:tab w:val="right" w:leader="dot" w:pos="9072"/>
      </w:tabs>
      <w:spacing w:before="40" w:after="40"/>
      <w:ind w:left="284"/>
    </w:pPr>
    <w:rPr>
      <w:rFonts w:ascii="Times New Roman" w:hAnsi="Times New Roman"/>
    </w:rPr>
  </w:style>
  <w:style w:type="paragraph" w:styleId="TOC1">
    <w:name w:val="toc 1"/>
    <w:basedOn w:val="TOCBase"/>
    <w:next w:val="Normal"/>
    <w:rsid w:val="00DF1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A1B"/>
    <w:rPr>
      <w:rFonts w:ascii="Times New Roman" w:eastAsia="Times New Roman" w:hAnsi="Times New Roman" w:cs="Times New Roman"/>
      <w:sz w:val="16"/>
      <w:lang w:eastAsia="en-US"/>
    </w:rPr>
  </w:style>
  <w:style w:type="paragraph" w:styleId="Title">
    <w:name w:val="Title"/>
    <w:basedOn w:val="HeadingBase"/>
    <w:link w:val="TitleChar"/>
    <w:qFormat/>
    <w:rsid w:val="00DF1A1B"/>
    <w:pPr>
      <w:spacing w:before="5040"/>
      <w:jc w:val="center"/>
    </w:pPr>
    <w:rPr>
      <w:sz w:val="48"/>
      <w:szCs w:val="72"/>
      <w:lang w:val="en-US"/>
    </w:rPr>
  </w:style>
  <w:style w:type="character" w:customStyle="1" w:styleId="TitleChar">
    <w:name w:val="Title Char"/>
    <w:basedOn w:val="DefaultParagraphFont"/>
    <w:link w:val="Title"/>
    <w:rsid w:val="00DF1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A1B"/>
    <w:pPr>
      <w:tabs>
        <w:tab w:val="left" w:pos="3600"/>
        <w:tab w:val="left" w:pos="3958"/>
      </w:tabs>
    </w:pPr>
  </w:style>
  <w:style w:type="paragraph" w:styleId="List">
    <w:name w:val="List"/>
    <w:basedOn w:val="BodyText"/>
    <w:next w:val="BodyText"/>
    <w:rsid w:val="00DF1A1B"/>
    <w:pPr>
      <w:tabs>
        <w:tab w:val="left" w:pos="340"/>
      </w:tabs>
      <w:spacing w:before="60" w:after="60"/>
      <w:ind w:left="340" w:hanging="340"/>
    </w:pPr>
  </w:style>
  <w:style w:type="paragraph" w:customStyle="1" w:styleId="Note">
    <w:name w:val="Note"/>
    <w:basedOn w:val="BodyText"/>
    <w:rsid w:val="00DF1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A1B"/>
    <w:pPr>
      <w:framePr w:wrap="auto" w:hAnchor="text" w:y="6049"/>
    </w:pPr>
    <w:rPr>
      <w:color w:val="000000"/>
      <w:sz w:val="40"/>
    </w:rPr>
  </w:style>
  <w:style w:type="paragraph" w:customStyle="1" w:styleId="TOCTitle">
    <w:name w:val="TOCTitle"/>
    <w:basedOn w:val="Heading1"/>
    <w:rsid w:val="00DF1A1B"/>
    <w:pPr>
      <w:spacing w:after="240"/>
      <w:jc w:val="center"/>
      <w:outlineLvl w:val="9"/>
    </w:pPr>
    <w:rPr>
      <w:caps/>
    </w:rPr>
  </w:style>
  <w:style w:type="paragraph" w:customStyle="1" w:styleId="Version">
    <w:name w:val="Version"/>
    <w:rsid w:val="00DF1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A1B"/>
    <w:pPr>
      <w:keepNext w:val="0"/>
      <w:tabs>
        <w:tab w:val="right" w:pos="4176"/>
      </w:tabs>
      <w:ind w:left="198" w:hanging="198"/>
    </w:pPr>
    <w:rPr>
      <w:rFonts w:ascii="Garamond" w:hAnsi="Garamond"/>
    </w:rPr>
  </w:style>
  <w:style w:type="paragraph" w:styleId="IndexHeading">
    <w:name w:val="index heading"/>
    <w:basedOn w:val="Normal"/>
    <w:next w:val="Index1"/>
    <w:semiHidden/>
    <w:rsid w:val="00DF1A1B"/>
    <w:pPr>
      <w:spacing w:before="120" w:after="120"/>
    </w:pPr>
    <w:rPr>
      <w:rFonts w:ascii="Arial" w:hAnsi="Arial"/>
      <w:b/>
      <w:color w:val="918585"/>
      <w:sz w:val="24"/>
    </w:rPr>
  </w:style>
  <w:style w:type="paragraph" w:styleId="Header">
    <w:name w:val="header"/>
    <w:basedOn w:val="Normal"/>
    <w:link w:val="HeaderChar"/>
    <w:rsid w:val="00DF1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A1B"/>
    <w:rPr>
      <w:rFonts w:ascii="Times New Roman" w:eastAsia="Times New Roman" w:hAnsi="Times New Roman" w:cs="Times New Roman"/>
      <w:sz w:val="16"/>
      <w:szCs w:val="20"/>
      <w:lang w:val="en-GB" w:eastAsia="en-US"/>
    </w:rPr>
  </w:style>
  <w:style w:type="paragraph" w:customStyle="1" w:styleId="Chapter">
    <w:name w:val="Chapter"/>
    <w:basedOn w:val="Normal"/>
    <w:rsid w:val="00DF1A1B"/>
    <w:pPr>
      <w:spacing w:before="240"/>
    </w:pPr>
    <w:rPr>
      <w:rFonts w:ascii="Times New Roman" w:hAnsi="Times New Roman"/>
      <w:smallCaps/>
      <w:spacing w:val="80"/>
      <w:sz w:val="28"/>
    </w:rPr>
  </w:style>
  <w:style w:type="paragraph" w:customStyle="1" w:styleId="InChapter">
    <w:name w:val="InChapter"/>
    <w:basedOn w:val="Heading3"/>
    <w:rsid w:val="00DF1A1B"/>
    <w:pPr>
      <w:spacing w:after="240"/>
      <w:outlineLvl w:val="9"/>
    </w:pPr>
    <w:rPr>
      <w:noProof/>
    </w:rPr>
  </w:style>
  <w:style w:type="paragraph" w:styleId="Index2">
    <w:name w:val="index 2"/>
    <w:basedOn w:val="Normal"/>
    <w:next w:val="Normal"/>
    <w:semiHidden/>
    <w:rsid w:val="00DF1A1B"/>
    <w:pPr>
      <w:tabs>
        <w:tab w:val="right" w:pos="4176"/>
      </w:tabs>
      <w:ind w:left="568" w:hanging="284"/>
    </w:pPr>
    <w:rPr>
      <w:rFonts w:ascii="Garamond" w:hAnsi="Garamond"/>
    </w:rPr>
  </w:style>
  <w:style w:type="paragraph" w:customStyle="1" w:styleId="Byline">
    <w:name w:val="Byline"/>
    <w:rsid w:val="00DF1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A1B"/>
    <w:pPr>
      <w:tabs>
        <w:tab w:val="clear" w:pos="3600"/>
        <w:tab w:val="clear" w:pos="3958"/>
      </w:tabs>
      <w:jc w:val="right"/>
    </w:pPr>
  </w:style>
  <w:style w:type="paragraph" w:styleId="Caption">
    <w:name w:val="caption"/>
    <w:basedOn w:val="BodyText"/>
    <w:next w:val="Normal"/>
    <w:qFormat/>
    <w:rsid w:val="00DF1A1B"/>
    <w:pPr>
      <w:framePr w:w="2268" w:hSpace="181" w:vSpace="181" w:wrap="around" w:vAnchor="text" w:hAnchor="page" w:x="1135" w:y="285" w:anchorLock="1"/>
    </w:pPr>
    <w:rPr>
      <w:i/>
    </w:rPr>
  </w:style>
  <w:style w:type="paragraph" w:customStyle="1" w:styleId="MiniTOCTitle">
    <w:name w:val="MiniTOCTitle"/>
    <w:basedOn w:val="Heading4"/>
    <w:rsid w:val="00DF1A1B"/>
    <w:pPr>
      <w:spacing w:before="240"/>
      <w:outlineLvl w:val="9"/>
    </w:pPr>
    <w:rPr>
      <w:noProof/>
      <w:sz w:val="24"/>
    </w:rPr>
  </w:style>
  <w:style w:type="paragraph" w:customStyle="1" w:styleId="MiniTOCItem">
    <w:name w:val="MiniTOCItem"/>
    <w:basedOn w:val="ListBullet"/>
    <w:rsid w:val="00DF1A1B"/>
    <w:pPr>
      <w:numPr>
        <w:numId w:val="0"/>
      </w:numPr>
      <w:tabs>
        <w:tab w:val="right" w:leader="dot" w:pos="6521"/>
      </w:tabs>
      <w:spacing w:before="0" w:after="0"/>
    </w:pPr>
  </w:style>
  <w:style w:type="paragraph" w:customStyle="1" w:styleId="TOFTitle">
    <w:name w:val="TOFTitle"/>
    <w:basedOn w:val="TOCTitle"/>
    <w:rsid w:val="00DF1A1B"/>
  </w:style>
  <w:style w:type="paragraph" w:styleId="TableofFigures">
    <w:name w:val="table of figures"/>
    <w:basedOn w:val="Normal"/>
    <w:next w:val="Normal"/>
    <w:semiHidden/>
    <w:rsid w:val="00DF1A1B"/>
    <w:pPr>
      <w:tabs>
        <w:tab w:val="right" w:leader="dot" w:pos="9072"/>
      </w:tabs>
      <w:ind w:left="970" w:hanging="403"/>
    </w:pPr>
    <w:rPr>
      <w:rFonts w:ascii="Times New Roman" w:hAnsi="Times New Roman"/>
      <w:b/>
    </w:rPr>
  </w:style>
  <w:style w:type="paragraph" w:styleId="ListNumber">
    <w:name w:val="List Number"/>
    <w:basedOn w:val="List"/>
    <w:rsid w:val="00DF1A1B"/>
    <w:pPr>
      <w:numPr>
        <w:numId w:val="16"/>
      </w:numPr>
      <w:tabs>
        <w:tab w:val="clear" w:pos="340"/>
      </w:tabs>
    </w:pPr>
  </w:style>
  <w:style w:type="character" w:customStyle="1" w:styleId="WingdingSymbols">
    <w:name w:val="Wingding Symbols"/>
    <w:rsid w:val="00DF1A1B"/>
    <w:rPr>
      <w:rFonts w:ascii="Wingdings" w:hAnsi="Wingdings"/>
    </w:rPr>
  </w:style>
  <w:style w:type="paragraph" w:customStyle="1" w:styleId="TableHeading">
    <w:name w:val="Table Heading"/>
    <w:basedOn w:val="HeadingBase"/>
    <w:rsid w:val="00DF1A1B"/>
    <w:pPr>
      <w:keepLines/>
      <w:pBdr>
        <w:bottom w:val="single" w:sz="6" w:space="1" w:color="918585"/>
      </w:pBdr>
      <w:spacing w:before="240"/>
    </w:pPr>
  </w:style>
  <w:style w:type="character" w:customStyle="1" w:styleId="HotSpot">
    <w:name w:val="HotSpot"/>
    <w:rsid w:val="00DF1A1B"/>
    <w:rPr>
      <w:color w:val="0033CC"/>
      <w:u w:val="none"/>
    </w:rPr>
  </w:style>
  <w:style w:type="paragraph" w:customStyle="1" w:styleId="BodyTextRight">
    <w:name w:val="Body Text Right"/>
    <w:basedOn w:val="BodyText"/>
    <w:rsid w:val="00DF1A1B"/>
    <w:pPr>
      <w:spacing w:before="0" w:after="0"/>
      <w:jc w:val="right"/>
    </w:pPr>
  </w:style>
  <w:style w:type="paragraph" w:styleId="Index3">
    <w:name w:val="index 3"/>
    <w:basedOn w:val="ListNumber2"/>
    <w:next w:val="Normal"/>
    <w:semiHidden/>
    <w:rsid w:val="00DF1A1B"/>
    <w:pPr>
      <w:numPr>
        <w:numId w:val="0"/>
      </w:numPr>
      <w:tabs>
        <w:tab w:val="right" w:leader="dot" w:pos="4176"/>
      </w:tabs>
    </w:pPr>
  </w:style>
  <w:style w:type="paragraph" w:styleId="ListNumber2">
    <w:name w:val="List Number 2"/>
    <w:basedOn w:val="List2"/>
    <w:rsid w:val="00DF1A1B"/>
    <w:pPr>
      <w:numPr>
        <w:numId w:val="11"/>
      </w:numPr>
      <w:tabs>
        <w:tab w:val="clear" w:pos="1060"/>
      </w:tabs>
    </w:pPr>
  </w:style>
  <w:style w:type="paragraph" w:customStyle="1" w:styleId="MarginNote">
    <w:name w:val="Margin Note"/>
    <w:basedOn w:val="BodyText"/>
    <w:rsid w:val="00DF1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A1B"/>
    <w:rPr>
      <w:sz w:val="32"/>
    </w:rPr>
  </w:style>
  <w:style w:type="paragraph" w:customStyle="1" w:styleId="HeadingProcedure">
    <w:name w:val="Heading Procedure"/>
    <w:basedOn w:val="HeadingBase"/>
    <w:next w:val="Normal"/>
    <w:rsid w:val="00DF1A1B"/>
    <w:pPr>
      <w:tabs>
        <w:tab w:val="left" w:pos="0"/>
      </w:tabs>
      <w:spacing w:before="120" w:after="60"/>
    </w:pPr>
    <w:rPr>
      <w:i/>
      <w:color w:val="918585"/>
      <w:sz w:val="22"/>
    </w:rPr>
  </w:style>
  <w:style w:type="paragraph" w:customStyle="1" w:styleId="TableBodyText">
    <w:name w:val="Table Body Text"/>
    <w:basedOn w:val="BodyText"/>
    <w:rsid w:val="00DF1A1B"/>
    <w:pPr>
      <w:spacing w:before="60" w:after="60"/>
    </w:pPr>
  </w:style>
  <w:style w:type="paragraph" w:styleId="ListContinue">
    <w:name w:val="List Continue"/>
    <w:basedOn w:val="List"/>
    <w:rsid w:val="00DF1A1B"/>
    <w:pPr>
      <w:ind w:firstLine="0"/>
    </w:pPr>
  </w:style>
  <w:style w:type="paragraph" w:customStyle="1" w:styleId="ListNote">
    <w:name w:val="List Note"/>
    <w:basedOn w:val="List"/>
    <w:rsid w:val="00DF1A1B"/>
    <w:pPr>
      <w:pBdr>
        <w:top w:val="single" w:sz="6" w:space="2" w:color="918585"/>
        <w:bottom w:val="single" w:sz="6" w:space="2" w:color="918585"/>
      </w:pBdr>
      <w:tabs>
        <w:tab w:val="left" w:pos="1021"/>
      </w:tabs>
      <w:ind w:firstLine="0"/>
    </w:pPr>
  </w:style>
  <w:style w:type="paragraph" w:customStyle="1" w:styleId="Warning">
    <w:name w:val="Warning"/>
    <w:basedOn w:val="BodyText"/>
    <w:rsid w:val="00DF1A1B"/>
    <w:pPr>
      <w:shd w:val="clear" w:color="auto" w:fill="D9D9D9"/>
      <w:tabs>
        <w:tab w:val="left" w:pos="992"/>
      </w:tabs>
      <w:ind w:left="119" w:right="119"/>
    </w:pPr>
    <w:rPr>
      <w:sz w:val="20"/>
    </w:rPr>
  </w:style>
  <w:style w:type="paragraph" w:customStyle="1" w:styleId="MarginIcons">
    <w:name w:val="Margin Icons"/>
    <w:basedOn w:val="BodyText"/>
    <w:rsid w:val="00DF1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A1B"/>
    <w:rPr>
      <w:rFonts w:ascii="Courier New" w:hAnsi="Courier New"/>
    </w:rPr>
  </w:style>
  <w:style w:type="paragraph" w:customStyle="1" w:styleId="NoteBullet">
    <w:name w:val="Note Bullet"/>
    <w:basedOn w:val="Note"/>
    <w:rsid w:val="00DF1A1B"/>
    <w:pPr>
      <w:tabs>
        <w:tab w:val="clear" w:pos="680"/>
      </w:tabs>
      <w:spacing w:before="60" w:after="60"/>
    </w:pPr>
  </w:style>
  <w:style w:type="paragraph" w:customStyle="1" w:styleId="SubHeading2">
    <w:name w:val="SubHeading2"/>
    <w:basedOn w:val="HeadingBase"/>
    <w:rsid w:val="00DF1A1B"/>
    <w:pPr>
      <w:spacing w:before="240" w:after="60"/>
    </w:pPr>
    <w:rPr>
      <w:sz w:val="20"/>
    </w:rPr>
  </w:style>
  <w:style w:type="paragraph" w:customStyle="1" w:styleId="SubHeading1">
    <w:name w:val="SubHeading1"/>
    <w:basedOn w:val="HeadingBase"/>
    <w:rsid w:val="00DF1A1B"/>
    <w:pPr>
      <w:spacing w:before="240" w:after="60"/>
    </w:pPr>
    <w:rPr>
      <w:color w:val="918585"/>
      <w:sz w:val="22"/>
    </w:rPr>
  </w:style>
  <w:style w:type="paragraph" w:customStyle="1" w:styleId="SideHeading">
    <w:name w:val="Side Heading"/>
    <w:basedOn w:val="HeadingBase"/>
    <w:rsid w:val="00DF1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A1B"/>
    <w:pPr>
      <w:numPr>
        <w:numId w:val="12"/>
      </w:numPr>
    </w:pPr>
  </w:style>
  <w:style w:type="paragraph" w:styleId="PlainText">
    <w:name w:val="Plain Text"/>
    <w:basedOn w:val="Normal"/>
    <w:link w:val="PlainTextChar"/>
    <w:rsid w:val="00DF1A1B"/>
    <w:rPr>
      <w:sz w:val="20"/>
    </w:rPr>
  </w:style>
  <w:style w:type="character" w:customStyle="1" w:styleId="PlainTextChar">
    <w:name w:val="Plain Text Char"/>
    <w:basedOn w:val="DefaultParagraphFont"/>
    <w:link w:val="PlainText"/>
    <w:rsid w:val="00DF1A1B"/>
    <w:rPr>
      <w:rFonts w:ascii="Courier New" w:eastAsia="Times New Roman" w:hAnsi="Courier New" w:cs="Times New Roman"/>
      <w:sz w:val="20"/>
      <w:szCs w:val="20"/>
      <w:lang w:eastAsia="en-US"/>
    </w:rPr>
  </w:style>
  <w:style w:type="character" w:customStyle="1" w:styleId="MenuOption">
    <w:name w:val="Menu Option"/>
    <w:basedOn w:val="DefaultParagraphFont"/>
    <w:rsid w:val="00DF1A1B"/>
    <w:rPr>
      <w:b/>
      <w:smallCaps/>
    </w:rPr>
  </w:style>
  <w:style w:type="paragraph" w:customStyle="1" w:styleId="TableListNumber">
    <w:name w:val="Table List Number"/>
    <w:basedOn w:val="ListNumber"/>
    <w:rsid w:val="00DF1A1B"/>
    <w:pPr>
      <w:numPr>
        <w:numId w:val="0"/>
      </w:numPr>
    </w:pPr>
  </w:style>
  <w:style w:type="paragraph" w:styleId="TOC4">
    <w:name w:val="toc 4"/>
    <w:basedOn w:val="TOCBase"/>
    <w:next w:val="Normal"/>
    <w:semiHidden/>
    <w:rsid w:val="00DF1A1B"/>
    <w:pPr>
      <w:tabs>
        <w:tab w:val="right" w:leader="dot" w:pos="9071"/>
      </w:tabs>
      <w:ind w:left="1701"/>
    </w:pPr>
  </w:style>
  <w:style w:type="paragraph" w:customStyle="1" w:styleId="ListAlpha">
    <w:name w:val="List Alpha"/>
    <w:basedOn w:val="List"/>
    <w:rsid w:val="00DF1A1B"/>
    <w:pPr>
      <w:numPr>
        <w:numId w:val="10"/>
      </w:numPr>
    </w:pPr>
  </w:style>
  <w:style w:type="paragraph" w:customStyle="1" w:styleId="ListAlpha2">
    <w:name w:val="List Alpha 2"/>
    <w:basedOn w:val="List2"/>
    <w:rsid w:val="00DF1A1B"/>
    <w:pPr>
      <w:numPr>
        <w:numId w:val="9"/>
      </w:numPr>
    </w:pPr>
  </w:style>
  <w:style w:type="paragraph" w:styleId="List2">
    <w:name w:val="List 2"/>
    <w:basedOn w:val="BodyText"/>
    <w:rsid w:val="00DF1A1B"/>
    <w:pPr>
      <w:tabs>
        <w:tab w:val="left" w:pos="680"/>
      </w:tabs>
      <w:spacing w:before="60" w:after="60"/>
      <w:ind w:left="680" w:hanging="340"/>
    </w:pPr>
  </w:style>
  <w:style w:type="paragraph" w:styleId="List3">
    <w:name w:val="List 3"/>
    <w:basedOn w:val="BodyText"/>
    <w:rsid w:val="00DF1A1B"/>
    <w:pPr>
      <w:tabs>
        <w:tab w:val="left" w:pos="1021"/>
      </w:tabs>
      <w:spacing w:before="60" w:after="60"/>
      <w:ind w:left="1020" w:hanging="340"/>
    </w:pPr>
  </w:style>
  <w:style w:type="paragraph" w:styleId="List4">
    <w:name w:val="List 4"/>
    <w:basedOn w:val="BodyText"/>
    <w:rsid w:val="00DF1A1B"/>
    <w:pPr>
      <w:tabs>
        <w:tab w:val="left" w:pos="1361"/>
      </w:tabs>
      <w:spacing w:before="60" w:after="60"/>
      <w:ind w:left="1361" w:hanging="340"/>
    </w:pPr>
  </w:style>
  <w:style w:type="paragraph" w:styleId="List5">
    <w:name w:val="List 5"/>
    <w:basedOn w:val="BodyText"/>
    <w:rsid w:val="00DF1A1B"/>
    <w:pPr>
      <w:tabs>
        <w:tab w:val="left" w:pos="1701"/>
      </w:tabs>
      <w:spacing w:before="60" w:after="60"/>
      <w:ind w:left="1701" w:hanging="340"/>
    </w:pPr>
  </w:style>
  <w:style w:type="paragraph" w:styleId="ListBullet4">
    <w:name w:val="List Bullet 4"/>
    <w:basedOn w:val="List4"/>
    <w:rsid w:val="00DF1A1B"/>
    <w:pPr>
      <w:numPr>
        <w:numId w:val="4"/>
      </w:numPr>
      <w:tabs>
        <w:tab w:val="clear" w:pos="1361"/>
      </w:tabs>
    </w:pPr>
  </w:style>
  <w:style w:type="paragraph" w:styleId="ListBullet5">
    <w:name w:val="List Bullet 5"/>
    <w:basedOn w:val="List5"/>
    <w:rsid w:val="00DF1A1B"/>
    <w:pPr>
      <w:numPr>
        <w:numId w:val="5"/>
      </w:numPr>
    </w:pPr>
  </w:style>
  <w:style w:type="paragraph" w:styleId="ListContinue2">
    <w:name w:val="List Continue 2"/>
    <w:basedOn w:val="List2"/>
    <w:rsid w:val="00DF1A1B"/>
    <w:pPr>
      <w:ind w:firstLine="0"/>
    </w:pPr>
  </w:style>
  <w:style w:type="paragraph" w:styleId="ListContinue3">
    <w:name w:val="List Continue 3"/>
    <w:basedOn w:val="List3"/>
    <w:rsid w:val="00DF1A1B"/>
    <w:pPr>
      <w:ind w:left="1021" w:firstLine="0"/>
    </w:pPr>
  </w:style>
  <w:style w:type="paragraph" w:styleId="ListContinue4">
    <w:name w:val="List Continue 4"/>
    <w:basedOn w:val="List4"/>
    <w:rsid w:val="00DF1A1B"/>
    <w:pPr>
      <w:ind w:firstLine="0"/>
    </w:pPr>
  </w:style>
  <w:style w:type="paragraph" w:styleId="ListContinue5">
    <w:name w:val="List Continue 5"/>
    <w:basedOn w:val="List5"/>
    <w:rsid w:val="00DF1A1B"/>
    <w:pPr>
      <w:ind w:firstLine="0"/>
    </w:pPr>
  </w:style>
  <w:style w:type="paragraph" w:styleId="ListNumber3">
    <w:name w:val="List Number 3"/>
    <w:basedOn w:val="List3"/>
    <w:rsid w:val="00DF1A1B"/>
    <w:pPr>
      <w:numPr>
        <w:numId w:val="6"/>
      </w:numPr>
    </w:pPr>
  </w:style>
  <w:style w:type="paragraph" w:styleId="ListNumber4">
    <w:name w:val="List Number 4"/>
    <w:basedOn w:val="List4"/>
    <w:rsid w:val="00DF1A1B"/>
    <w:pPr>
      <w:numPr>
        <w:numId w:val="7"/>
      </w:numPr>
    </w:pPr>
  </w:style>
  <w:style w:type="paragraph" w:styleId="ListNumber5">
    <w:name w:val="List Number 5"/>
    <w:basedOn w:val="List5"/>
    <w:rsid w:val="00DF1A1B"/>
    <w:pPr>
      <w:numPr>
        <w:numId w:val="8"/>
      </w:numPr>
    </w:pPr>
  </w:style>
  <w:style w:type="paragraph" w:styleId="BlockText">
    <w:name w:val="Block Text"/>
    <w:basedOn w:val="Normal"/>
    <w:rsid w:val="00DF1A1B"/>
    <w:pPr>
      <w:spacing w:after="120"/>
      <w:ind w:left="1440" w:right="1440"/>
    </w:pPr>
  </w:style>
  <w:style w:type="character" w:customStyle="1" w:styleId="Subscript">
    <w:name w:val="Subscript"/>
    <w:basedOn w:val="DefaultParagraphFont"/>
    <w:rsid w:val="00DF1A1B"/>
    <w:rPr>
      <w:sz w:val="16"/>
      <w:vertAlign w:val="subscript"/>
    </w:rPr>
  </w:style>
  <w:style w:type="character" w:customStyle="1" w:styleId="Superscript">
    <w:name w:val="Superscript"/>
    <w:basedOn w:val="DefaultParagraphFont"/>
    <w:rsid w:val="00DF1A1B"/>
    <w:rPr>
      <w:sz w:val="16"/>
      <w:vertAlign w:val="superscript"/>
    </w:rPr>
  </w:style>
  <w:style w:type="character" w:customStyle="1" w:styleId="Symbols">
    <w:name w:val="Symbols"/>
    <w:basedOn w:val="DefaultParagraphFont"/>
    <w:rsid w:val="00DF1A1B"/>
    <w:rPr>
      <w:rFonts w:ascii="Symbol" w:hAnsi="Symbol"/>
    </w:rPr>
  </w:style>
  <w:style w:type="character" w:customStyle="1" w:styleId="MenuOptions">
    <w:name w:val="Menu Options"/>
    <w:basedOn w:val="DefaultParagraphFont"/>
    <w:rsid w:val="00DF1A1B"/>
    <w:rPr>
      <w:rFonts w:ascii="Arial Narrow" w:hAnsi="Arial Narrow"/>
      <w:smallCaps/>
    </w:rPr>
  </w:style>
  <w:style w:type="character" w:customStyle="1" w:styleId="Buttons">
    <w:name w:val="Buttons"/>
    <w:basedOn w:val="DefaultParagraphFont"/>
    <w:rsid w:val="00DF1A1B"/>
    <w:rPr>
      <w:b/>
    </w:rPr>
  </w:style>
  <w:style w:type="character" w:customStyle="1" w:styleId="Underlined">
    <w:name w:val="Underlined"/>
    <w:basedOn w:val="DefaultParagraphFont"/>
    <w:rsid w:val="00DF1A1B"/>
    <w:rPr>
      <w:u w:val="single"/>
    </w:rPr>
  </w:style>
  <w:style w:type="paragraph" w:customStyle="1" w:styleId="TableBodyTextRight">
    <w:name w:val="Table Body Text Right"/>
    <w:basedOn w:val="TableBodyText"/>
    <w:rsid w:val="00DF1A1B"/>
    <w:pPr>
      <w:widowControl w:val="0"/>
      <w:autoSpaceDE w:val="0"/>
      <w:autoSpaceDN w:val="0"/>
      <w:adjustRightInd w:val="0"/>
      <w:jc w:val="right"/>
    </w:pPr>
    <w:rPr>
      <w:rFonts w:cs="Arial"/>
      <w:szCs w:val="18"/>
    </w:rPr>
  </w:style>
  <w:style w:type="paragraph" w:customStyle="1" w:styleId="CopyrightText">
    <w:name w:val="Copyright Text"/>
    <w:basedOn w:val="BodyText"/>
    <w:rsid w:val="00DF1A1B"/>
    <w:rPr>
      <w:sz w:val="18"/>
    </w:rPr>
  </w:style>
  <w:style w:type="paragraph" w:customStyle="1" w:styleId="BodySmallRight">
    <w:name w:val="Body Small Right"/>
    <w:basedOn w:val="BodyTextRight"/>
    <w:rsid w:val="00DF1A1B"/>
    <w:rPr>
      <w:sz w:val="18"/>
      <w:szCs w:val="18"/>
    </w:rPr>
  </w:style>
  <w:style w:type="paragraph" w:customStyle="1" w:styleId="MarginEdition">
    <w:name w:val="Margin Edition"/>
    <w:basedOn w:val="MarginNote"/>
    <w:rsid w:val="00DF1A1B"/>
    <w:pPr>
      <w:spacing w:before="0" w:after="0"/>
    </w:pPr>
    <w:rPr>
      <w:rFonts w:ascii="Times New Roman" w:hAnsi="Times New Roman"/>
      <w:color w:val="999999"/>
    </w:rPr>
  </w:style>
  <w:style w:type="paragraph" w:customStyle="1" w:styleId="Spacer">
    <w:name w:val="Spacer"/>
    <w:basedOn w:val="Normal"/>
    <w:rsid w:val="00DF1A1B"/>
    <w:rPr>
      <w:sz w:val="2"/>
      <w:szCs w:val="2"/>
    </w:rPr>
  </w:style>
  <w:style w:type="character" w:customStyle="1" w:styleId="Small">
    <w:name w:val="Small"/>
    <w:basedOn w:val="DefaultParagraphFont"/>
    <w:rsid w:val="00DF1A1B"/>
    <w:rPr>
      <w:sz w:val="16"/>
    </w:rPr>
  </w:style>
  <w:style w:type="paragraph" w:customStyle="1" w:styleId="WideTable">
    <w:name w:val="Wide Table"/>
    <w:basedOn w:val="Normal"/>
    <w:rsid w:val="00DF1A1B"/>
    <w:pPr>
      <w:ind w:left="-1418"/>
    </w:pPr>
    <w:rPr>
      <w:sz w:val="2"/>
      <w:szCs w:val="2"/>
    </w:rPr>
  </w:style>
  <w:style w:type="character" w:styleId="PageNumber">
    <w:name w:val="page number"/>
    <w:basedOn w:val="DefaultParagraphFont"/>
    <w:rsid w:val="00DF1A1B"/>
  </w:style>
  <w:style w:type="paragraph" w:styleId="Quote">
    <w:name w:val="Quote"/>
    <w:basedOn w:val="Heading1"/>
    <w:link w:val="QuoteChar"/>
    <w:qFormat/>
    <w:rsid w:val="00DF1A1B"/>
    <w:rPr>
      <w:b w:val="0"/>
      <w:sz w:val="72"/>
      <w:szCs w:val="72"/>
      <w:lang w:val="en-NZ"/>
    </w:rPr>
  </w:style>
  <w:style w:type="character" w:customStyle="1" w:styleId="QuoteChar">
    <w:name w:val="Quote Char"/>
    <w:basedOn w:val="DefaultParagraphFont"/>
    <w:link w:val="Quote"/>
    <w:rsid w:val="00DF1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A1B"/>
    <w:pPr>
      <w:pageBreakBefore/>
    </w:pPr>
  </w:style>
  <w:style w:type="paragraph" w:customStyle="1" w:styleId="Border">
    <w:name w:val="Border"/>
    <w:basedOn w:val="Normal"/>
    <w:qFormat/>
    <w:rsid w:val="00DF1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A1B"/>
    <w:rPr>
      <w:b/>
      <w:bCs/>
      <w:i/>
      <w:iCs/>
      <w:color w:val="auto"/>
    </w:rPr>
  </w:style>
  <w:style w:type="paragraph" w:styleId="IntenseQuote">
    <w:name w:val="Intense Quote"/>
    <w:basedOn w:val="Normal"/>
    <w:next w:val="Normal"/>
    <w:link w:val="IntenseQuoteChar"/>
    <w:uiPriority w:val="30"/>
    <w:qFormat/>
    <w:rsid w:val="00DF1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A1B"/>
    <w:rPr>
      <w:smallCaps/>
      <w:color w:val="auto"/>
      <w:u w:val="single"/>
    </w:rPr>
  </w:style>
  <w:style w:type="character" w:styleId="IntenseReference">
    <w:name w:val="Intense Reference"/>
    <w:basedOn w:val="DefaultParagraphFont"/>
    <w:uiPriority w:val="32"/>
    <w:qFormat/>
    <w:rsid w:val="00DF1A1B"/>
    <w:rPr>
      <w:b/>
      <w:bCs/>
      <w:smallCaps/>
      <w:color w:val="auto"/>
      <w:spacing w:val="5"/>
      <w:u w:val="single"/>
    </w:rPr>
  </w:style>
  <w:style w:type="paragraph" w:customStyle="1" w:styleId="2ColumnHeading">
    <w:name w:val="2Column Heading"/>
    <w:basedOn w:val="BodyText"/>
    <w:qFormat/>
    <w:rsid w:val="00DF1A1B"/>
    <w:pPr>
      <w:spacing w:after="60"/>
      <w:ind w:left="-2268"/>
    </w:pPr>
    <w:rPr>
      <w:b/>
    </w:rPr>
  </w:style>
  <w:style w:type="paragraph" w:customStyle="1" w:styleId="Heading1TOC">
    <w:name w:val="Heading1 TOC"/>
    <w:basedOn w:val="Normal"/>
    <w:qFormat/>
    <w:rsid w:val="00DF1A1B"/>
    <w:pPr>
      <w:spacing w:before="240" w:after="120"/>
    </w:pPr>
    <w:rPr>
      <w:rFonts w:ascii="Times New Roman" w:hAnsi="Times New Roman"/>
      <w:b/>
      <w:sz w:val="32"/>
    </w:rPr>
  </w:style>
  <w:style w:type="paragraph" w:customStyle="1" w:styleId="Heading2TOC">
    <w:name w:val="Heading2 TOC"/>
    <w:basedOn w:val="Normal"/>
    <w:qFormat/>
    <w:rsid w:val="00DF1A1B"/>
    <w:pPr>
      <w:spacing w:before="240" w:after="60"/>
    </w:pPr>
    <w:rPr>
      <w:rFonts w:ascii="Times New Roman" w:hAnsi="Times New Roman"/>
      <w:b/>
      <w:sz w:val="28"/>
    </w:rPr>
  </w:style>
  <w:style w:type="character" w:customStyle="1" w:styleId="Underline">
    <w:name w:val="Underline"/>
    <w:basedOn w:val="DefaultParagraphFont"/>
    <w:qFormat/>
    <w:rsid w:val="00DF1A1B"/>
    <w:rPr>
      <w:u w:val="single"/>
    </w:rPr>
  </w:style>
  <w:style w:type="character" w:customStyle="1" w:styleId="BoldandItalics">
    <w:name w:val="Bold and Italics"/>
    <w:qFormat/>
    <w:rsid w:val="00DF1A1B"/>
    <w:rPr>
      <w:b/>
      <w:i/>
      <w:u w:val="none"/>
    </w:rPr>
  </w:style>
  <w:style w:type="paragraph" w:styleId="BalloonText">
    <w:name w:val="Balloon Text"/>
    <w:basedOn w:val="Normal"/>
    <w:link w:val="BalloonTextChar"/>
    <w:rsid w:val="00DF1A1B"/>
    <w:rPr>
      <w:rFonts w:ascii="Tahoma" w:hAnsi="Tahoma" w:cs="Tahoma"/>
      <w:sz w:val="16"/>
      <w:szCs w:val="16"/>
    </w:rPr>
  </w:style>
  <w:style w:type="character" w:customStyle="1" w:styleId="BalloonTextChar">
    <w:name w:val="Balloon Text Char"/>
    <w:basedOn w:val="DefaultParagraphFont"/>
    <w:link w:val="BalloonText"/>
    <w:rsid w:val="00DF1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A1B"/>
    <w:rPr>
      <w:b/>
      <w:color w:val="660033"/>
      <w:spacing w:val="0"/>
    </w:rPr>
  </w:style>
  <w:style w:type="paragraph" w:customStyle="1" w:styleId="Nameditemlist">
    <w:name w:val="Named item list"/>
    <w:basedOn w:val="BodyText"/>
    <w:qFormat/>
    <w:rsid w:val="00DF1A1B"/>
    <w:pPr>
      <w:tabs>
        <w:tab w:val="left" w:pos="2835"/>
      </w:tabs>
      <w:ind w:left="2835" w:hanging="2835"/>
    </w:pPr>
  </w:style>
  <w:style w:type="paragraph" w:customStyle="1" w:styleId="BodyTextnopadding">
    <w:name w:val="Body Text no padding"/>
    <w:basedOn w:val="BodyText"/>
    <w:qFormat/>
    <w:rsid w:val="00DF1A1B"/>
    <w:pPr>
      <w:spacing w:before="0" w:after="0"/>
    </w:pPr>
  </w:style>
  <w:style w:type="paragraph" w:customStyle="1" w:styleId="BodyTextBold">
    <w:name w:val="Body Text Bold"/>
    <w:basedOn w:val="BodyText"/>
    <w:qFormat/>
    <w:rsid w:val="00DF1A1B"/>
    <w:rPr>
      <w:b/>
    </w:rPr>
  </w:style>
  <w:style w:type="character" w:styleId="Hyperlink">
    <w:name w:val="Hyperlink"/>
    <w:basedOn w:val="DefaultParagraphFont"/>
    <w:uiPriority w:val="99"/>
    <w:unhideWhenUsed/>
    <w:rsid w:val="00642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1003</Words>
  <Characters>6962</Characters>
  <Application>Microsoft Office Word</Application>
  <DocSecurity>0</DocSecurity>
  <Lines>248</Lines>
  <Paragraphs>209</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HLTENN007 Administer and monitor medicines and intravenous therapy</dc:title>
  <dc:subject>Approved</dc:subject>
  <dc:creator>SkillsIQ</dc:creator>
  <cp:keywords>Release: 1</cp:keywords>
  <dc:description>Review Date: 12 April 2008</dc:description>
  <cp:lastModifiedBy>HSD_TPCMSd.prod</cp:lastModifiedBy>
  <cp:revision>3</cp:revision>
  <dcterms:created xsi:type="dcterms:W3CDTF">2021-03-18T05:45:00Z</dcterms:created>
  <dcterms:modified xsi:type="dcterms:W3CDTF">2021-03-18T05:45:00Z</dcterms:modified>
</cp:coreProperties>
</file>