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B20" w:rsidP="00867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HLTDET015 Construct complete removable acrylic dentures and appliances</w:t>
      </w:r>
      <w:r>
        <w:fldChar w:fldCharType="end"/>
      </w:r>
    </w:p>
    <w:p w:rsidR="00867B20" w:rsidP="00867B20">
      <w:pPr>
        <w:pStyle w:val="Version"/>
        <w:sectPr w:rsidSect="00710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6E5" w:rsidP="007106E5">
      <w:pPr>
        <w:pStyle w:val="SuperHeading"/>
      </w:pPr>
      <w:r w:rsidRPr="007106E5">
        <w:t>HLTDET015 Construct complete removable acrylic dentures and appliances</w:t>
      </w:r>
    </w:p>
    <w:p w:rsidR="00000000" w:rsidRPr="007106E5" w:rsidP="007106E5">
      <w:pPr>
        <w:pStyle w:val="Heading1"/>
      </w:pPr>
      <w:bookmarkStart w:id="1" w:name="O_820130"/>
      <w:bookmarkEnd w:id="1"/>
      <w:r w:rsidRPr="007106E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67B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 xml:space="preserve">Release </w:t>
            </w:r>
            <w:r w:rsidRPr="007106E5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 xml:space="preserve">Comments </w:t>
            </w:r>
          </w:p>
        </w:tc>
      </w:tr>
      <w:tr w:rsidTr="00867B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 xml:space="preserve">This version was released in </w:t>
            </w:r>
            <w:r w:rsidRPr="007106E5">
              <w:rPr>
                <w:rStyle w:val="Emphasis"/>
              </w:rPr>
              <w:t>HLT Health Training Package release 3.0</w:t>
            </w:r>
            <w:r w:rsidRPr="007106E5">
              <w:t xml:space="preserve"> and meets the requirements of the 2012 Standards for Training Packages.</w:t>
            </w:r>
          </w:p>
          <w:p w:rsidR="00000000" w:rsidRPr="007106E5" w:rsidP="007106E5">
            <w:pPr>
              <w:pStyle w:val="BodyText"/>
            </w:pPr>
            <w:r w:rsidRPr="007106E5">
              <w:t>Minimal changes to the elements and performance criteria. New evidence requirements for assessment including volume and frequency requirements. Removal of pre-requisites</w:t>
            </w:r>
          </w:p>
          <w:p w:rsidR="00000000" w:rsidRPr="007106E5" w:rsidP="007106E5">
            <w:pPr>
              <w:pStyle w:val="BodyText"/>
            </w:pPr>
            <w:r w:rsidRPr="007106E5">
              <w:t>Supersedes HL</w:t>
            </w:r>
            <w:r w:rsidRPr="007106E5">
              <w:t>TDT519C</w:t>
            </w:r>
          </w:p>
        </w:tc>
      </w:tr>
    </w:tbl>
    <w:p w:rsidR="00867B20" w:rsidP="007106E5">
      <w:pPr>
        <w:pStyle w:val="BodyText"/>
      </w:pPr>
    </w:p>
    <w:p w:rsidR="00867B20" w:rsidP="007106E5">
      <w:pPr>
        <w:pStyle w:val="BodyText"/>
      </w:pPr>
    </w:p>
    <w:p w:rsidR="00000000" w:rsidRPr="007106E5" w:rsidP="007106E5">
      <w:pPr>
        <w:pStyle w:val="Heading1"/>
      </w:pPr>
      <w:bookmarkStart w:id="2" w:name="O_820131"/>
      <w:bookmarkEnd w:id="2"/>
      <w:r w:rsidRPr="007106E5">
        <w:t>Application</w:t>
      </w:r>
    </w:p>
    <w:p w:rsidR="00000000" w:rsidRPr="007106E5" w:rsidP="00867B20">
      <w:pPr>
        <w:pStyle w:val="BodyText"/>
      </w:pPr>
      <w:r w:rsidRPr="007106E5">
        <w:t>This unit of competency describes the skills and knowledge required to construct a trial prosthesis suitable for insertion in the mouth, convert it to clinically acceptable materials and finish according to laborator</w:t>
      </w:r>
      <w:r w:rsidRPr="007106E5">
        <w:t>y standards.</w:t>
      </w:r>
    </w:p>
    <w:p w:rsidR="00000000" w:rsidRPr="007106E5" w:rsidP="00867B20">
      <w:pPr>
        <w:pStyle w:val="BodyText"/>
      </w:pPr>
      <w:r w:rsidRPr="007106E5">
        <w:t>This unit applies to work in dental technology.</w:t>
      </w:r>
    </w:p>
    <w:p w:rsidR="00867B20" w:rsidRPr="00867B20" w:rsidP="00867B20">
      <w:pPr>
        <w:pStyle w:val="BodyText"/>
        <w:rPr>
          <w:i/>
        </w:rPr>
      </w:pPr>
      <w:r w:rsidRPr="00867B2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67B20">
        <w:rPr>
          <w:i/>
        </w:rPr>
        <w:t>.</w:t>
      </w:r>
    </w:p>
    <w:p w:rsidR="00000000" w:rsidRPr="007106E5" w:rsidP="007106E5">
      <w:pPr>
        <w:pStyle w:val="Heading1"/>
      </w:pPr>
      <w:bookmarkStart w:id="3" w:name="O_820135"/>
      <w:bookmarkEnd w:id="3"/>
      <w:r w:rsidRPr="007106E5">
        <w:t>Eleme</w:t>
      </w:r>
      <w:r w:rsidRPr="007106E5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rPr>
                <w:rStyle w:val="SpecialBold"/>
              </w:rPr>
              <w:t>PERFORMANCE CRITERIA</w:t>
            </w: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Performance criteria describe the performance needed to demonstrate achievement of the element.</w:t>
            </w: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1. Articulate by means of face-bow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1.1 Receive face-bow with completed bite registration.</w:t>
            </w:r>
          </w:p>
          <w:p w:rsidR="00000000" w:rsidRPr="007106E5" w:rsidP="007106E5">
            <w:pPr>
              <w:pStyle w:val="BodyText"/>
            </w:pPr>
            <w:r w:rsidRPr="007106E5">
              <w:t>1.2 Read and interpret work order</w:t>
            </w:r>
          </w:p>
          <w:p w:rsidR="00000000" w:rsidRPr="007106E5" w:rsidP="007106E5">
            <w:pPr>
              <w:pStyle w:val="BodyText"/>
            </w:pPr>
            <w:r w:rsidRPr="007106E5">
              <w:t>1.3 Articulate on an industry specific articulator in accordance with clinician requirements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2. Prepare case for setting of teeth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2.1 Select artificial teeth in acc</w:t>
            </w:r>
            <w:r w:rsidRPr="007106E5">
              <w:t>ordance with work order</w:t>
            </w:r>
          </w:p>
          <w:p w:rsidR="00000000" w:rsidRPr="007106E5" w:rsidP="007106E5">
            <w:pPr>
              <w:pStyle w:val="BodyText"/>
            </w:pPr>
            <w:r w:rsidRPr="007106E5">
              <w:t>2.2 Modify bases and rims as required for positioning teeth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3. Arrange artificial teeth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3.1 Follow work order to position and attach the prescribed artificial teeth</w:t>
            </w:r>
          </w:p>
          <w:p w:rsidR="00000000" w:rsidRPr="007106E5" w:rsidP="007106E5">
            <w:pPr>
              <w:pStyle w:val="BodyText"/>
            </w:pPr>
            <w:r w:rsidRPr="007106E5">
              <w:t>3.2 Shape and contour the supportive wax and contour to gingival outline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4. Wax up denture for try-in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4.1 Contour facial and lingual aspects</w:t>
            </w:r>
          </w:p>
          <w:p w:rsidR="00000000" w:rsidRPr="007106E5" w:rsidP="007106E5">
            <w:pPr>
              <w:pStyle w:val="BodyText"/>
            </w:pPr>
            <w:r w:rsidRPr="007106E5">
              <w:t>4.2 Locate and relieve muscle attachments</w:t>
            </w:r>
          </w:p>
          <w:p w:rsidR="00000000" w:rsidRPr="007106E5" w:rsidP="007106E5">
            <w:pPr>
              <w:pStyle w:val="BodyText"/>
            </w:pPr>
            <w:r w:rsidRPr="007106E5">
              <w:t>4.3 Smooth and round peripheral extensions</w:t>
            </w:r>
          </w:p>
          <w:p w:rsidR="00000000" w:rsidRPr="007106E5" w:rsidP="007106E5">
            <w:pPr>
              <w:pStyle w:val="BodyText"/>
            </w:pPr>
            <w:r w:rsidRPr="007106E5">
              <w:t>4.4 Confirm distal extension</w:t>
            </w:r>
            <w:r w:rsidRPr="007106E5">
              <w:t>s</w:t>
            </w:r>
          </w:p>
          <w:p w:rsidR="00000000" w:rsidRPr="007106E5" w:rsidP="007106E5">
            <w:pPr>
              <w:pStyle w:val="BodyText"/>
            </w:pPr>
            <w:r w:rsidRPr="007106E5">
              <w:t>4.5 Decontaminate the trial prosthesis according to infection control guidelines</w:t>
            </w:r>
          </w:p>
          <w:p w:rsidR="00000000" w:rsidRPr="007106E5" w:rsidP="007106E5">
            <w:pPr>
              <w:pStyle w:val="BodyText"/>
            </w:pPr>
            <w:r w:rsidRPr="007106E5">
              <w:t>4.6 Dry the trial prosthesis and place in a sealed container for dispatch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5. Check and modify the returned trial prosthesis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5.1 Decontaminate the returned prosthesis and i</w:t>
            </w:r>
            <w:r w:rsidRPr="007106E5">
              <w:t>dentify any modifications that are required</w:t>
            </w:r>
          </w:p>
          <w:p w:rsidR="00000000" w:rsidRPr="007106E5" w:rsidP="007106E5">
            <w:pPr>
              <w:pStyle w:val="BodyText"/>
            </w:pPr>
            <w:r w:rsidRPr="007106E5">
              <w:t>5.2 Check the returned trial prosthesis for loosening or movement of teeth and make necessary adjustments</w:t>
            </w:r>
          </w:p>
          <w:p w:rsidR="00000000" w:rsidRPr="007106E5" w:rsidP="007106E5">
            <w:pPr>
              <w:pStyle w:val="BodyText"/>
            </w:pPr>
            <w:r w:rsidRPr="007106E5">
              <w:t>5.3 Fit the returned trial prosthesis to the model if it needs to be modified, articulate and make necessa</w:t>
            </w:r>
            <w:r w:rsidRPr="007106E5">
              <w:t>ry modifications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6. Wax case for finish consistent with work order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6.1 Evaluate the work order, models and denture design and decide whether or not to use a duplicate model for processing the final prosthesis</w:t>
            </w:r>
          </w:p>
          <w:p w:rsidR="00000000" w:rsidRPr="007106E5" w:rsidP="007106E5">
            <w:pPr>
              <w:pStyle w:val="BodyText"/>
            </w:pPr>
            <w:r w:rsidRPr="007106E5">
              <w:t>6.2 Apply wax as required by work order</w:t>
            </w:r>
          </w:p>
          <w:p w:rsidR="00000000" w:rsidRPr="007106E5" w:rsidP="007106E5">
            <w:pPr>
              <w:pStyle w:val="BodyText"/>
            </w:pPr>
            <w:r w:rsidRPr="007106E5">
              <w:t>6.3 Contour facial and lingual aspects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7. Select and prepare materials and processing technique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7.1 Identify the appropriate polymer system for case</w:t>
            </w:r>
          </w:p>
          <w:p w:rsidR="00000000" w:rsidRPr="007106E5" w:rsidP="007106E5">
            <w:pPr>
              <w:pStyle w:val="BodyText"/>
            </w:pPr>
            <w:r w:rsidRPr="007106E5">
              <w:t>7.2 Identify the appropriate investment technique</w:t>
            </w:r>
          </w:p>
          <w:p w:rsidR="00000000" w:rsidRPr="007106E5" w:rsidP="007106E5">
            <w:pPr>
              <w:pStyle w:val="BodyText"/>
            </w:pPr>
            <w:r w:rsidRPr="007106E5">
              <w:t>7.3 Identify the appropriate processing cycle</w:t>
            </w:r>
          </w:p>
          <w:p w:rsidR="00000000" w:rsidRPr="007106E5" w:rsidP="007106E5">
            <w:pPr>
              <w:pStyle w:val="BodyText"/>
            </w:pPr>
            <w:r w:rsidRPr="007106E5">
              <w:t>7.4 Selec</w:t>
            </w:r>
            <w:r w:rsidRPr="007106E5">
              <w:t>t polymeric material to construct the prosthesis</w:t>
            </w:r>
          </w:p>
          <w:p w:rsidR="00000000" w:rsidRPr="007106E5" w:rsidP="007106E5">
            <w:pPr>
              <w:pStyle w:val="BodyText"/>
            </w:pPr>
            <w:r w:rsidRPr="007106E5">
              <w:t>7.5  Prepare system components in accordance with manufacturers’ instructions</w:t>
            </w:r>
          </w:p>
          <w:p w:rsidR="00000000" w:rsidRPr="007106E5" w:rsidP="007106E5">
            <w:pPr>
              <w:pStyle w:val="BodyText"/>
            </w:pPr>
            <w:r w:rsidRPr="007106E5">
              <w:t>7.6 Allow materials to reach application stage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8. Process denture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8.1 Apply appropriate investment techniques</w:t>
            </w:r>
          </w:p>
          <w:p w:rsidR="00000000" w:rsidRPr="007106E5" w:rsidP="007106E5">
            <w:pPr>
              <w:pStyle w:val="BodyText"/>
            </w:pPr>
            <w:r w:rsidRPr="007106E5">
              <w:t>8.2 Apply materia</w:t>
            </w:r>
            <w:r w:rsidRPr="007106E5">
              <w:t>l to mould</w:t>
            </w:r>
          </w:p>
          <w:p w:rsidR="00000000" w:rsidRPr="007106E5" w:rsidP="007106E5">
            <w:pPr>
              <w:pStyle w:val="BodyText"/>
            </w:pPr>
            <w:r w:rsidRPr="007106E5">
              <w:t>8.3 Process the polymeric material for the correct length of time at the correct temperature</w:t>
            </w:r>
          </w:p>
          <w:p w:rsidR="00000000" w:rsidRPr="007106E5" w:rsidP="007106E5">
            <w:pPr>
              <w:pStyle w:val="BodyText"/>
            </w:pPr>
            <w:r w:rsidRPr="007106E5">
              <w:t>8.4 Devest model and remove the processed prosthesis without causing damage to it</w:t>
            </w:r>
          </w:p>
          <w:p w:rsidR="00000000" w:rsidRPr="007106E5" w:rsidP="007106E5">
            <w:pPr>
              <w:pStyle w:val="BodyText"/>
            </w:pPr>
            <w:r w:rsidRPr="007106E5">
              <w:t>8.5 Trim excess material and remount on articulator</w:t>
            </w:r>
          </w:p>
          <w:p w:rsidR="00000000" w:rsidP="007106E5">
            <w:pPr>
              <w:pStyle w:val="BodyText"/>
              <w:rPr>
                <w:lang w:val="en-NZ"/>
              </w:rPr>
            </w:pPr>
          </w:p>
        </w:tc>
      </w:tr>
      <w:tr w:rsidTr="00710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t>9. Finish dentur</w:t>
            </w:r>
            <w:r w:rsidRPr="007106E5">
              <w:t>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9.1 Select methods, materials and equipment for trimming, finishing and polishing the prosthesis appropriate to the appliance and the materials used in its construction</w:t>
            </w:r>
          </w:p>
          <w:p w:rsidR="00000000" w:rsidRPr="007106E5" w:rsidP="007106E5">
            <w:pPr>
              <w:pStyle w:val="BodyText"/>
            </w:pPr>
            <w:r w:rsidRPr="007106E5">
              <w:t>9.2 Reposition models on the articulator where possible</w:t>
            </w:r>
          </w:p>
          <w:p w:rsidR="00000000" w:rsidRPr="007106E5" w:rsidP="007106E5">
            <w:pPr>
              <w:pStyle w:val="BodyText"/>
            </w:pPr>
            <w:r w:rsidRPr="007106E5">
              <w:t>9.3 Assess the articulated prosthesis and confirm that articulation is appropriate to the work order</w:t>
            </w:r>
          </w:p>
          <w:p w:rsidR="00000000" w:rsidRPr="007106E5" w:rsidP="007106E5">
            <w:pPr>
              <w:pStyle w:val="BodyText"/>
            </w:pPr>
            <w:r w:rsidRPr="007106E5">
              <w:t>9.4 Make any necessary adjustments to maintain original vertical dimension</w:t>
            </w:r>
          </w:p>
          <w:p w:rsidR="00000000" w:rsidRPr="007106E5" w:rsidP="007106E5">
            <w:pPr>
              <w:pStyle w:val="BodyText"/>
            </w:pPr>
            <w:r w:rsidRPr="007106E5">
              <w:t>9.5 Remove any processing irregularities and sharp edges</w:t>
            </w:r>
          </w:p>
          <w:p w:rsidR="00000000" w:rsidRPr="007106E5" w:rsidP="007106E5">
            <w:pPr>
              <w:pStyle w:val="BodyText"/>
            </w:pPr>
            <w:r w:rsidRPr="007106E5">
              <w:t>9.6 Polish the non-fitt</w:t>
            </w:r>
            <w:r w:rsidRPr="007106E5">
              <w:t>ing surfaces of the prosthesis to create smooth, polished surfaces</w:t>
            </w:r>
          </w:p>
          <w:p w:rsidR="00000000" w:rsidRPr="007106E5" w:rsidP="007106E5">
            <w:pPr>
              <w:pStyle w:val="BodyText"/>
            </w:pPr>
            <w:r w:rsidRPr="007106E5">
              <w:t>9.7 Evaluate the finished prosthesis</w:t>
            </w:r>
          </w:p>
          <w:p w:rsidR="00000000" w:rsidRPr="007106E5" w:rsidP="007106E5">
            <w:pPr>
              <w:pStyle w:val="BodyText"/>
            </w:pPr>
            <w:r w:rsidRPr="007106E5">
              <w:t>9.8 Decontaminate the dentures according to infection control guidelines</w:t>
            </w:r>
          </w:p>
          <w:p w:rsidR="00000000" w:rsidRPr="007106E5" w:rsidP="007106E5">
            <w:pPr>
              <w:pStyle w:val="BodyText"/>
            </w:pPr>
            <w:r w:rsidRPr="007106E5">
              <w:t>9.9 Place in a sealed container for dispatch</w:t>
            </w:r>
          </w:p>
        </w:tc>
      </w:tr>
    </w:tbl>
    <w:p w:rsidR="00000000" w:rsidRPr="007106E5" w:rsidP="007106E5">
      <w:pPr>
        <w:pStyle w:val="BodyText"/>
      </w:pPr>
    </w:p>
    <w:p w:rsidR="00000000" w:rsidRPr="007106E5" w:rsidP="007106E5">
      <w:pPr>
        <w:pStyle w:val="AllowPageBreak"/>
      </w:pPr>
    </w:p>
    <w:p w:rsidR="00000000" w:rsidRPr="007106E5" w:rsidP="007106E5">
      <w:pPr>
        <w:pStyle w:val="Heading1"/>
      </w:pPr>
      <w:bookmarkStart w:id="4" w:name="O_820136"/>
      <w:bookmarkEnd w:id="4"/>
      <w:r w:rsidRPr="007106E5">
        <w:t>Foundation Skil</w:t>
      </w:r>
      <w:r w:rsidRPr="007106E5">
        <w:t>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7B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6E5">
            <w:pPr>
              <w:pStyle w:val="BodyText"/>
              <w:rPr>
                <w:lang w:val="en-NZ"/>
              </w:rPr>
            </w:pPr>
            <w:r w:rsidRPr="007106E5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7106E5">
              <w:t xml:space="preserve">are essential to </w:t>
            </w:r>
            <w:r w:rsidRPr="007106E5">
              <w:rPr>
                <w:rStyle w:val="Emphasis"/>
              </w:rPr>
              <w:t>performance.</w:t>
            </w:r>
          </w:p>
        </w:tc>
      </w:tr>
      <w:tr w:rsidTr="00867B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6E5" w:rsidP="007106E5">
            <w:pPr>
              <w:pStyle w:val="BodyText"/>
            </w:pPr>
            <w:r w:rsidRPr="007106E5">
              <w:t>Foundation skills essential to performance are explicit in the performance criteria of this unit of competency.</w:t>
            </w:r>
          </w:p>
        </w:tc>
      </w:tr>
    </w:tbl>
    <w:p w:rsidR="00867B20" w:rsidP="007106E5">
      <w:pPr>
        <w:pStyle w:val="BodyText"/>
      </w:pPr>
    </w:p>
    <w:p w:rsidR="00867B20" w:rsidP="007106E5">
      <w:pPr>
        <w:pStyle w:val="BodyText"/>
      </w:pPr>
    </w:p>
    <w:p w:rsidR="00000000" w:rsidRPr="007106E5" w:rsidP="007106E5">
      <w:pPr>
        <w:pStyle w:val="Heading1"/>
      </w:pPr>
      <w:bookmarkStart w:id="5" w:name="O_820138"/>
      <w:bookmarkEnd w:id="5"/>
      <w:r w:rsidRPr="007106E5">
        <w:t>Unit Mapping Information</w:t>
      </w:r>
    </w:p>
    <w:p w:rsidR="00867B20" w:rsidP="00867B20">
      <w:pPr>
        <w:pStyle w:val="BodyText"/>
      </w:pPr>
      <w:r w:rsidRPr="007106E5">
        <w:t xml:space="preserve">No Equivalent Unit </w:t>
      </w:r>
    </w:p>
    <w:p w:rsidR="00000000" w:rsidRPr="007106E5" w:rsidP="007106E5">
      <w:pPr>
        <w:pStyle w:val="Heading1"/>
      </w:pPr>
      <w:bookmarkStart w:id="6" w:name="O_820145"/>
      <w:bookmarkEnd w:id="6"/>
      <w:r w:rsidRPr="007106E5">
        <w:t>Links</w:t>
      </w:r>
    </w:p>
    <w:p w:rsidR="00000000" w:rsidRPr="007106E5" w:rsidP="00867B20">
      <w:pPr>
        <w:pStyle w:val="BodyText"/>
      </w:pPr>
      <w:r w:rsidRPr="00710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84B6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106E5" w:rsidP="007106E5"/>
    <w:sectPr w:rsidSect="007106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E5" w:rsidRPr="00867B20" w:rsidP="00867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20" w:rsidP="00710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B20" w:rsidP="00710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7B20" w:rsidP="00710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6E5" w:rsidRPr="00867B20" w:rsidP="00867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20" w:rsidRPr="002D2AF8" w:rsidP="00710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HLTDET015 Construct complete removable acrylic dentures and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67B20" w:rsidP="00710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6E5"/>
  </w:style>
  <w:style w:type="character" w:customStyle="1" w:styleId="Heading1Char">
    <w:name w:val="Heading 1 Char"/>
    <w:basedOn w:val="DefaultParagraphFont"/>
    <w:link w:val="Heading1"/>
    <w:rsid w:val="00710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6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06E5"/>
    <w:rPr>
      <w:b/>
      <w:spacing w:val="0"/>
    </w:rPr>
  </w:style>
  <w:style w:type="character" w:styleId="Emphasis">
    <w:name w:val="Emphasis"/>
    <w:basedOn w:val="DefaultParagraphFont"/>
    <w:qFormat/>
    <w:rsid w:val="007106E5"/>
    <w:rPr>
      <w:i/>
    </w:rPr>
  </w:style>
  <w:style w:type="paragraph" w:customStyle="1" w:styleId="SuperHeading">
    <w:name w:val="SuperHeading"/>
    <w:basedOn w:val="Normal"/>
    <w:rsid w:val="00710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6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6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6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06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0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6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6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0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6E5"/>
  </w:style>
  <w:style w:type="paragraph" w:styleId="TableofFigures">
    <w:name w:val="table of figures"/>
    <w:basedOn w:val="Normal"/>
    <w:next w:val="Normal"/>
    <w:semiHidden/>
    <w:rsid w:val="00710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6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06E5"/>
    <w:rPr>
      <w:rFonts w:ascii="Wingdings" w:hAnsi="Wingdings"/>
    </w:rPr>
  </w:style>
  <w:style w:type="paragraph" w:customStyle="1" w:styleId="TableHeading">
    <w:name w:val="Table Heading"/>
    <w:basedOn w:val="HeadingBase"/>
    <w:rsid w:val="00710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6E5"/>
    <w:rPr>
      <w:color w:val="0033CC"/>
      <w:u w:val="none"/>
    </w:rPr>
  </w:style>
  <w:style w:type="paragraph" w:customStyle="1" w:styleId="BodyTextRight">
    <w:name w:val="Body Text Right"/>
    <w:basedOn w:val="BodyText"/>
    <w:rsid w:val="00710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6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6E5"/>
    <w:rPr>
      <w:sz w:val="32"/>
    </w:rPr>
  </w:style>
  <w:style w:type="paragraph" w:customStyle="1" w:styleId="HeadingProcedure">
    <w:name w:val="Heading Procedure"/>
    <w:basedOn w:val="HeadingBase"/>
    <w:next w:val="Normal"/>
    <w:rsid w:val="00710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6E5"/>
    <w:pPr>
      <w:spacing w:before="60" w:after="60"/>
    </w:pPr>
  </w:style>
  <w:style w:type="paragraph" w:styleId="ListContinue">
    <w:name w:val="List Continue"/>
    <w:basedOn w:val="List"/>
    <w:rsid w:val="007106E5"/>
    <w:pPr>
      <w:ind w:firstLine="0"/>
    </w:pPr>
  </w:style>
  <w:style w:type="paragraph" w:customStyle="1" w:styleId="ListNote">
    <w:name w:val="List Note"/>
    <w:basedOn w:val="List"/>
    <w:rsid w:val="00710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6E5"/>
    <w:rPr>
      <w:rFonts w:ascii="Courier New" w:hAnsi="Courier New"/>
    </w:rPr>
  </w:style>
  <w:style w:type="paragraph" w:customStyle="1" w:styleId="NoteBullet">
    <w:name w:val="Note Bullet"/>
    <w:basedOn w:val="Note"/>
    <w:rsid w:val="00710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6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0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6E5"/>
    <w:rPr>
      <w:b/>
      <w:smallCaps/>
    </w:rPr>
  </w:style>
  <w:style w:type="paragraph" w:customStyle="1" w:styleId="TableListNumber">
    <w:name w:val="Table List Number"/>
    <w:basedOn w:val="ListNumber"/>
    <w:rsid w:val="00710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6E5"/>
    <w:pPr>
      <w:numPr>
        <w:numId w:val="7"/>
      </w:numPr>
    </w:pPr>
  </w:style>
  <w:style w:type="paragraph" w:customStyle="1" w:styleId="ListAlpha2">
    <w:name w:val="List Alpha 2"/>
    <w:basedOn w:val="List2"/>
    <w:rsid w:val="007106E5"/>
    <w:pPr>
      <w:numPr>
        <w:numId w:val="6"/>
      </w:numPr>
    </w:pPr>
  </w:style>
  <w:style w:type="paragraph" w:styleId="List2">
    <w:name w:val="List 2"/>
    <w:basedOn w:val="BodyText"/>
    <w:rsid w:val="00710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6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6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6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06E5"/>
    <w:pPr>
      <w:numPr>
        <w:numId w:val="2"/>
      </w:numPr>
    </w:pPr>
  </w:style>
  <w:style w:type="paragraph" w:styleId="ListContinue2">
    <w:name w:val="List Continue 2"/>
    <w:basedOn w:val="List2"/>
    <w:rsid w:val="007106E5"/>
    <w:pPr>
      <w:ind w:firstLine="0"/>
    </w:pPr>
  </w:style>
  <w:style w:type="paragraph" w:styleId="ListContinue3">
    <w:name w:val="List Continue 3"/>
    <w:basedOn w:val="List3"/>
    <w:rsid w:val="007106E5"/>
    <w:pPr>
      <w:ind w:left="1021" w:firstLine="0"/>
    </w:pPr>
  </w:style>
  <w:style w:type="paragraph" w:styleId="ListContinue4">
    <w:name w:val="List Continue 4"/>
    <w:basedOn w:val="List4"/>
    <w:rsid w:val="007106E5"/>
    <w:pPr>
      <w:ind w:firstLine="0"/>
    </w:pPr>
  </w:style>
  <w:style w:type="paragraph" w:styleId="ListContinue5">
    <w:name w:val="List Continue 5"/>
    <w:basedOn w:val="List5"/>
    <w:rsid w:val="007106E5"/>
    <w:pPr>
      <w:ind w:firstLine="0"/>
    </w:pPr>
  </w:style>
  <w:style w:type="paragraph" w:styleId="ListNumber3">
    <w:name w:val="List Number 3"/>
    <w:basedOn w:val="List3"/>
    <w:rsid w:val="007106E5"/>
    <w:pPr>
      <w:numPr>
        <w:numId w:val="3"/>
      </w:numPr>
    </w:pPr>
  </w:style>
  <w:style w:type="paragraph" w:styleId="ListNumber4">
    <w:name w:val="List Number 4"/>
    <w:basedOn w:val="List4"/>
    <w:rsid w:val="007106E5"/>
    <w:pPr>
      <w:numPr>
        <w:numId w:val="4"/>
      </w:numPr>
    </w:pPr>
  </w:style>
  <w:style w:type="paragraph" w:styleId="ListNumber5">
    <w:name w:val="List Number 5"/>
    <w:basedOn w:val="List5"/>
    <w:rsid w:val="007106E5"/>
    <w:pPr>
      <w:numPr>
        <w:numId w:val="5"/>
      </w:numPr>
    </w:pPr>
  </w:style>
  <w:style w:type="paragraph" w:styleId="BlockText">
    <w:name w:val="Block Text"/>
    <w:basedOn w:val="Normal"/>
    <w:rsid w:val="00710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6E5"/>
    <w:rPr>
      <w:sz w:val="16"/>
      <w:vertAlign w:val="superscript"/>
    </w:rPr>
  </w:style>
  <w:style w:type="character" w:customStyle="1" w:styleId="Symbols">
    <w:name w:val="Symbols"/>
    <w:basedOn w:val="DefaultParagraphFont"/>
    <w:rsid w:val="007106E5"/>
    <w:rPr>
      <w:rFonts w:ascii="Symbol" w:hAnsi="Symbol"/>
    </w:rPr>
  </w:style>
  <w:style w:type="character" w:customStyle="1" w:styleId="MenuOptions">
    <w:name w:val="Menu Options"/>
    <w:basedOn w:val="DefaultParagraphFont"/>
    <w:rsid w:val="00710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6E5"/>
    <w:rPr>
      <w:b/>
    </w:rPr>
  </w:style>
  <w:style w:type="character" w:customStyle="1" w:styleId="Underlined">
    <w:name w:val="Underlined"/>
    <w:basedOn w:val="DefaultParagraphFont"/>
    <w:rsid w:val="007106E5"/>
    <w:rPr>
      <w:u w:val="single"/>
    </w:rPr>
  </w:style>
  <w:style w:type="paragraph" w:customStyle="1" w:styleId="TableBodyTextRight">
    <w:name w:val="Table Body Text Right"/>
    <w:basedOn w:val="TableBodyText"/>
    <w:rsid w:val="00710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6E5"/>
    <w:rPr>
      <w:sz w:val="18"/>
    </w:rPr>
  </w:style>
  <w:style w:type="paragraph" w:customStyle="1" w:styleId="BodySmallRight">
    <w:name w:val="Body Small Right"/>
    <w:basedOn w:val="BodyTextRight"/>
    <w:rsid w:val="007106E5"/>
    <w:rPr>
      <w:sz w:val="18"/>
      <w:szCs w:val="18"/>
    </w:rPr>
  </w:style>
  <w:style w:type="paragraph" w:customStyle="1" w:styleId="MarginEdition">
    <w:name w:val="Margin Edition"/>
    <w:basedOn w:val="MarginNote"/>
    <w:rsid w:val="00710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6E5"/>
    <w:rPr>
      <w:sz w:val="2"/>
      <w:szCs w:val="2"/>
    </w:rPr>
  </w:style>
  <w:style w:type="character" w:customStyle="1" w:styleId="Small">
    <w:name w:val="Small"/>
    <w:basedOn w:val="DefaultParagraphFont"/>
    <w:rsid w:val="007106E5"/>
    <w:rPr>
      <w:sz w:val="16"/>
    </w:rPr>
  </w:style>
  <w:style w:type="paragraph" w:customStyle="1" w:styleId="WideTable">
    <w:name w:val="Wide Table"/>
    <w:basedOn w:val="Normal"/>
    <w:rsid w:val="00710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6E5"/>
  </w:style>
  <w:style w:type="paragraph" w:styleId="Quote">
    <w:name w:val="Quote"/>
    <w:basedOn w:val="Heading1"/>
    <w:link w:val="QuoteChar"/>
    <w:qFormat/>
    <w:rsid w:val="00710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6E5"/>
    <w:pPr>
      <w:pageBreakBefore/>
    </w:pPr>
  </w:style>
  <w:style w:type="paragraph" w:customStyle="1" w:styleId="Border">
    <w:name w:val="Border"/>
    <w:basedOn w:val="Normal"/>
    <w:qFormat/>
    <w:rsid w:val="00710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6E5"/>
    <w:rPr>
      <w:u w:val="single"/>
    </w:rPr>
  </w:style>
  <w:style w:type="character" w:customStyle="1" w:styleId="BoldandItalics">
    <w:name w:val="Bold and Italics"/>
    <w:qFormat/>
    <w:rsid w:val="007106E5"/>
    <w:rPr>
      <w:b/>
      <w:i/>
      <w:u w:val="none"/>
    </w:rPr>
  </w:style>
  <w:style w:type="paragraph" w:styleId="BalloonText">
    <w:name w:val="Balloon Text"/>
    <w:basedOn w:val="Normal"/>
    <w:link w:val="BalloonTextChar"/>
    <w:rsid w:val="00710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6E5"/>
    <w:pPr>
      <w:spacing w:before="0" w:after="0"/>
    </w:pPr>
  </w:style>
  <w:style w:type="paragraph" w:customStyle="1" w:styleId="BodyTextBold">
    <w:name w:val="Body Text Bold"/>
    <w:basedOn w:val="BodyText"/>
    <w:qFormat/>
    <w:rsid w:val="007106E5"/>
    <w:rPr>
      <w:b/>
    </w:rPr>
  </w:style>
  <w:style w:type="character" w:styleId="Hyperlink">
    <w:name w:val="Hyperlink"/>
    <w:basedOn w:val="DefaultParagraphFont"/>
    <w:uiPriority w:val="99"/>
    <w:unhideWhenUsed/>
    <w:rsid w:val="00867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4136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HLTDET015 Construct complete removable acrylic dentures and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