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62E" w:rsidP="00E3762E">
      <w:pPr>
        <w:pStyle w:val="Title"/>
      </w:pPr>
      <w:r>
        <w:fldChar w:fldCharType="begin"/>
      </w:r>
      <w:r>
        <w:instrText xml:space="preserve"> TITLE   \* MERGEFORMAT </w:instrText>
      </w:r>
      <w:r>
        <w:fldChar w:fldCharType="separate"/>
      </w:r>
      <w:r>
        <w:t>Assessment Requirements for HLTDET015 Construct complete removable acrylic dentures and appliances</w:t>
      </w:r>
      <w:r>
        <w:fldChar w:fldCharType="end"/>
      </w:r>
    </w:p>
    <w:p w:rsidR="00E3762E" w:rsidP="00E3762E">
      <w:pPr>
        <w:pStyle w:val="Version"/>
        <w:sectPr w:rsidSect="00C35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72A" w:rsidP="00C3572A">
      <w:pPr>
        <w:pStyle w:val="SuperHeading"/>
      </w:pPr>
      <w:r w:rsidRPr="00C3572A">
        <w:t>Assessment Requirements for HLTDET015 Construct complete removable acrylic dentures and appliances</w:t>
      </w:r>
    </w:p>
    <w:p w:rsidR="00000000" w:rsidRPr="00C3572A" w:rsidP="00C3572A">
      <w:pPr>
        <w:pStyle w:val="Heading1"/>
      </w:pPr>
      <w:bookmarkStart w:id="1" w:name="O_820140"/>
      <w:bookmarkEnd w:id="1"/>
      <w:r w:rsidRPr="00C3572A">
        <w:t>Modification History</w:t>
      </w:r>
    </w:p>
    <w:tbl>
      <w:tblPr>
        <w:tblW w:w="0" w:type="auto"/>
        <w:tblCellMar>
          <w:left w:w="62" w:type="dxa"/>
          <w:right w:w="62" w:type="dxa"/>
        </w:tblCellMar>
        <w:tblLook w:val="0000"/>
      </w:tblPr>
      <w:tblGrid>
        <w:gridCol w:w="2147"/>
        <w:gridCol w:w="7049"/>
      </w:tblGrid>
      <w:tr w:rsidTr="00E376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72A">
            <w:pPr>
              <w:pStyle w:val="BodyText"/>
              <w:rPr>
                <w:lang w:val="en-NZ"/>
              </w:rPr>
            </w:pPr>
            <w:r w:rsidRPr="00C3572A">
              <w:t xml:space="preserve">Release </w:t>
            </w:r>
            <w:r w:rsidRPr="00C3572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72A">
            <w:pPr>
              <w:pStyle w:val="BodyText"/>
              <w:rPr>
                <w:lang w:val="en-NZ"/>
              </w:rPr>
            </w:pPr>
            <w:r w:rsidRPr="00C3572A">
              <w:t xml:space="preserve">Comments </w:t>
            </w:r>
          </w:p>
        </w:tc>
      </w:tr>
      <w:tr w:rsidTr="00E3762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72A">
            <w:pPr>
              <w:pStyle w:val="BodyText"/>
              <w:rPr>
                <w:lang w:val="en-NZ"/>
              </w:rPr>
            </w:pPr>
            <w:r w:rsidRPr="00C3572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72A" w:rsidP="00C3572A">
            <w:pPr>
              <w:pStyle w:val="BodyText"/>
            </w:pPr>
            <w:r w:rsidRPr="00C3572A">
              <w:t xml:space="preserve">This version was released in </w:t>
            </w:r>
            <w:r w:rsidRPr="00C3572A">
              <w:rPr>
                <w:rStyle w:val="Emphasis"/>
              </w:rPr>
              <w:t>HLT Health Training Package release 3.0</w:t>
            </w:r>
            <w:r w:rsidRPr="00C3572A">
              <w:t xml:space="preserve"> and meets the requirements of the 2012 Standards for Training Packages.</w:t>
            </w:r>
          </w:p>
          <w:p w:rsidR="00000000" w:rsidRPr="00C3572A" w:rsidP="00C3572A">
            <w:pPr>
              <w:pStyle w:val="BodyText"/>
            </w:pPr>
            <w:r w:rsidRPr="00C3572A">
              <w:t>Minimal changes to the elements and performance criteria. New evidence requirements for assessment including volume and frequency requirements. Removal of pre-requisites</w:t>
            </w:r>
          </w:p>
          <w:p w:rsidR="00000000" w:rsidRPr="00C3572A" w:rsidP="00C3572A">
            <w:pPr>
              <w:pStyle w:val="BodyText"/>
            </w:pPr>
            <w:r w:rsidRPr="00C3572A">
              <w:t>Supersedes HL</w:t>
            </w:r>
            <w:r w:rsidRPr="00C3572A">
              <w:t>TDT519C</w:t>
            </w:r>
          </w:p>
        </w:tc>
      </w:tr>
    </w:tbl>
    <w:p w:rsidR="00000000" w:rsidRPr="00C3572A" w:rsidP="00C3572A">
      <w:pPr>
        <w:pStyle w:val="BodyText"/>
      </w:pPr>
    </w:p>
    <w:p w:rsidR="00000000" w:rsidRPr="00C3572A" w:rsidP="00C3572A">
      <w:pPr>
        <w:pStyle w:val="AllowPageBreak"/>
      </w:pPr>
    </w:p>
    <w:p w:rsidR="00000000" w:rsidRPr="00C3572A" w:rsidP="00C3572A">
      <w:pPr>
        <w:pStyle w:val="Heading1"/>
      </w:pPr>
      <w:bookmarkStart w:id="2" w:name="O_820141"/>
      <w:bookmarkEnd w:id="2"/>
      <w:r w:rsidRPr="00C3572A">
        <w:t>Performance Evidence</w:t>
      </w:r>
    </w:p>
    <w:p w:rsidR="00000000" w:rsidRPr="00C3572A" w:rsidP="00E3762E">
      <w:pPr>
        <w:pStyle w:val="BodyText"/>
      </w:pPr>
      <w:r w:rsidRPr="00C3572A">
        <w:t>The candidate must show evidence of the ability to complete tasks outlined in elements and performance criteria of this unit, manage tasks and manage contingencies in the context of the job role. There must b</w:t>
      </w:r>
      <w:r w:rsidRPr="00C3572A">
        <w:t>e evidence that the candidate has:</w:t>
      </w:r>
    </w:p>
    <w:p w:rsidR="00000000" w:rsidRPr="00C3572A" w:rsidP="00C3572A">
      <w:pPr>
        <w:pStyle w:val="List"/>
      </w:pPr>
      <w:r w:rsidRPr="00C3572A">
        <w:t>•</w:t>
      </w:r>
      <w:r w:rsidRPr="00C3572A">
        <w:tab/>
        <w:t>read and correctly interpreted 2 work orders, arranged artificial teeth, and used standard precautions and safe work practices to wax, process and finish 1 maxillary and 1 mandibular complete acrylic prosthesis to a sta</w:t>
      </w:r>
      <w:r w:rsidRPr="00C3572A">
        <w:t xml:space="preserve">ndard suitable for insertion in the mouth </w:t>
      </w:r>
    </w:p>
    <w:p w:rsidR="00000000" w:rsidRPr="00C3572A" w:rsidP="00C3572A">
      <w:pPr>
        <w:pStyle w:val="List"/>
      </w:pPr>
      <w:r w:rsidRPr="00C3572A">
        <w:t>•</w:t>
      </w:r>
      <w:r w:rsidRPr="00C3572A">
        <w:tab/>
        <w:t>critically evaluated the 2 complete acrylic prostheses produced to meet technical laboratory and patient requirements, including confirming that each acrylic prosthesis:</w:t>
      </w:r>
    </w:p>
    <w:p w:rsidR="00000000" w:rsidRPr="00C3572A" w:rsidP="00C3572A">
      <w:pPr>
        <w:pStyle w:val="List2"/>
      </w:pPr>
      <w:r>
        <w:t>•</w:t>
      </w:r>
      <w:r>
        <w:tab/>
      </w:r>
      <w:r w:rsidRPr="00C3572A">
        <w:t xml:space="preserve">is compliant with the work order </w:t>
      </w:r>
    </w:p>
    <w:p w:rsidR="00000000" w:rsidRPr="00C3572A" w:rsidP="00C3572A">
      <w:pPr>
        <w:pStyle w:val="List2"/>
      </w:pPr>
      <w:r>
        <w:t>•</w:t>
      </w:r>
      <w:r>
        <w:tab/>
      </w:r>
      <w:r w:rsidRPr="00C3572A">
        <w:t xml:space="preserve">is </w:t>
      </w:r>
      <w:r w:rsidRPr="00C3572A">
        <w:t>free from defects</w:t>
      </w:r>
    </w:p>
    <w:p w:rsidR="00E3762E" w:rsidP="00C3572A">
      <w:pPr>
        <w:pStyle w:val="List2"/>
      </w:pPr>
      <w:r>
        <w:t>•</w:t>
      </w:r>
      <w:r>
        <w:tab/>
      </w:r>
      <w:r w:rsidRPr="00C3572A">
        <w:t>is functionally effective in line with the design and occlusion and is suitable for insertion in the mouth.</w:t>
      </w:r>
    </w:p>
    <w:p w:rsidR="00E3762E" w:rsidP="00C3572A">
      <w:pPr>
        <w:pStyle w:val="List2"/>
      </w:pPr>
    </w:p>
    <w:p w:rsidR="00000000" w:rsidRPr="00C3572A" w:rsidP="00C3572A">
      <w:pPr>
        <w:pStyle w:val="Heading1"/>
      </w:pPr>
      <w:bookmarkStart w:id="3" w:name="O_820142"/>
      <w:bookmarkEnd w:id="3"/>
      <w:r w:rsidRPr="00C3572A">
        <w:t>Knowledge Evidence</w:t>
      </w:r>
    </w:p>
    <w:p w:rsidR="00000000" w:rsidRPr="00C3572A" w:rsidP="00E3762E">
      <w:pPr>
        <w:pStyle w:val="BodyText"/>
      </w:pPr>
      <w:r w:rsidRPr="00C3572A">
        <w:t xml:space="preserve">The candidate must demonstrate essential knowledge required to effectively complete tasks outlined in elements and performance criteria of this unit, manage tasks and manage contingencies in the context of the work role. This includes knowledge of: </w:t>
      </w:r>
    </w:p>
    <w:p w:rsidR="00000000" w:rsidRPr="00C3572A" w:rsidP="00C3572A">
      <w:pPr>
        <w:pStyle w:val="List"/>
      </w:pPr>
      <w:r w:rsidRPr="00C3572A">
        <w:t>•</w:t>
      </w:r>
      <w:r w:rsidRPr="00C3572A">
        <w:tab/>
        <w:t>Aust</w:t>
      </w:r>
      <w:r w:rsidRPr="00C3572A">
        <w:t>ralian/New Zealand Standards, workplace health and safety (WHS) policies, Dental Board of Australia guidelines on infection control, Commonwealth and State/Territory legislation and organisation policies relating to dental laboratory work</w:t>
      </w:r>
    </w:p>
    <w:p w:rsidR="00000000" w:rsidRPr="00C3572A" w:rsidP="00C3572A">
      <w:pPr>
        <w:pStyle w:val="List"/>
      </w:pPr>
      <w:r w:rsidRPr="00C3572A">
        <w:t>•</w:t>
      </w:r>
      <w:r w:rsidRPr="00C3572A">
        <w:tab/>
        <w:t>fundamental ora</w:t>
      </w:r>
      <w:r w:rsidRPr="00C3572A">
        <w:t>l anatomy including:</w:t>
      </w:r>
    </w:p>
    <w:p w:rsidR="00000000" w:rsidRPr="00C3572A" w:rsidP="00C3572A">
      <w:pPr>
        <w:pStyle w:val="List2"/>
      </w:pPr>
      <w:r>
        <w:t>•</w:t>
      </w:r>
      <w:r>
        <w:tab/>
      </w:r>
      <w:r w:rsidRPr="00C3572A">
        <w:t>dentition – arrangement of the teeth, naming and coding of teeth</w:t>
      </w:r>
    </w:p>
    <w:p w:rsidR="00000000" w:rsidRPr="00C3572A" w:rsidP="00C3572A">
      <w:pPr>
        <w:pStyle w:val="List2"/>
      </w:pPr>
      <w:r>
        <w:t>•</w:t>
      </w:r>
      <w:r>
        <w:tab/>
      </w:r>
      <w:r w:rsidRPr="00C3572A">
        <w:t>structures of the oral cavity – hard and soft palate, lateral and posterior borders of the oral cavity, tongue and floor of the mouth</w:t>
      </w:r>
    </w:p>
    <w:p w:rsidR="00000000" w:rsidRPr="00C3572A" w:rsidP="00C3572A">
      <w:pPr>
        <w:pStyle w:val="List2"/>
      </w:pPr>
      <w:r>
        <w:t>•</w:t>
      </w:r>
      <w:r>
        <w:tab/>
      </w:r>
      <w:r w:rsidRPr="00C3572A">
        <w:t>teeth form and function</w:t>
      </w:r>
    </w:p>
    <w:p w:rsidR="00000000" w:rsidRPr="00C3572A" w:rsidP="00C3572A">
      <w:pPr>
        <w:pStyle w:val="List"/>
      </w:pPr>
      <w:r w:rsidRPr="00C3572A">
        <w:t>•</w:t>
      </w:r>
      <w:r w:rsidRPr="00C3572A">
        <w:tab/>
        <w:t>arti</w:t>
      </w:r>
      <w:r w:rsidRPr="00C3572A">
        <w:t>culation procedures</w:t>
      </w:r>
    </w:p>
    <w:p w:rsidR="00000000" w:rsidRPr="00C3572A" w:rsidP="00C3572A">
      <w:pPr>
        <w:pStyle w:val="List"/>
      </w:pPr>
      <w:r w:rsidRPr="00C3572A">
        <w:t>•</w:t>
      </w:r>
      <w:r w:rsidRPr="00C3572A">
        <w:tab/>
        <w:t>properties of a range of dental materials used in the construction of removable acrylic prostheses including:</w:t>
      </w:r>
    </w:p>
    <w:p w:rsidR="00000000" w:rsidRPr="00C3572A" w:rsidP="00C3572A">
      <w:pPr>
        <w:pStyle w:val="List2"/>
      </w:pPr>
      <w:r>
        <w:t>•</w:t>
      </w:r>
      <w:r>
        <w:tab/>
      </w:r>
      <w:r w:rsidRPr="00C3572A">
        <w:t>atomic structure</w:t>
      </w:r>
    </w:p>
    <w:p w:rsidR="00000000" w:rsidRPr="00C3572A" w:rsidP="00C3572A">
      <w:pPr>
        <w:pStyle w:val="List2"/>
      </w:pPr>
      <w:r>
        <w:t>•</w:t>
      </w:r>
      <w:r>
        <w:tab/>
      </w:r>
      <w:r w:rsidRPr="00C3572A">
        <w:t>chemical bonding and reactions</w:t>
      </w:r>
    </w:p>
    <w:p w:rsidR="00000000" w:rsidRPr="00C3572A" w:rsidP="00C3572A">
      <w:pPr>
        <w:pStyle w:val="List2"/>
      </w:pPr>
      <w:r>
        <w:t>•</w:t>
      </w:r>
      <w:r>
        <w:tab/>
      </w:r>
      <w:r w:rsidRPr="00C3572A">
        <w:t>classification of materials</w:t>
      </w:r>
    </w:p>
    <w:p w:rsidR="00000000" w:rsidRPr="00C3572A" w:rsidP="00C3572A">
      <w:pPr>
        <w:pStyle w:val="List2"/>
      </w:pPr>
      <w:r>
        <w:t>•</w:t>
      </w:r>
      <w:r>
        <w:tab/>
      </w:r>
      <w:r w:rsidRPr="00C3572A">
        <w:t>classification of matter</w:t>
      </w:r>
    </w:p>
    <w:p w:rsidR="00000000" w:rsidRPr="00C3572A" w:rsidP="00C3572A">
      <w:pPr>
        <w:pStyle w:val="List2"/>
      </w:pPr>
      <w:r>
        <w:t>•</w:t>
      </w:r>
      <w:r>
        <w:tab/>
      </w:r>
      <w:r w:rsidRPr="00C3572A">
        <w:t>properties of</w:t>
      </w:r>
      <w:r w:rsidRPr="00C3572A">
        <w:t xml:space="preserve"> materials</w:t>
      </w:r>
    </w:p>
    <w:p w:rsidR="00000000" w:rsidRPr="00C3572A" w:rsidP="00C3572A">
      <w:pPr>
        <w:pStyle w:val="List"/>
      </w:pPr>
      <w:r w:rsidRPr="00C3572A">
        <w:t>•</w:t>
      </w:r>
      <w:r w:rsidRPr="00C3572A">
        <w:tab/>
        <w:t>knowledge of dental polymers including:</w:t>
      </w:r>
    </w:p>
    <w:p w:rsidR="00000000" w:rsidRPr="00C3572A" w:rsidP="00C3572A">
      <w:pPr>
        <w:pStyle w:val="List2"/>
      </w:pPr>
      <w:r>
        <w:t>•</w:t>
      </w:r>
      <w:r>
        <w:tab/>
      </w:r>
      <w:r w:rsidRPr="00C3572A">
        <w:t>acrylic and modified acrylic prosthetic teeth</w:t>
      </w:r>
    </w:p>
    <w:p w:rsidR="00000000" w:rsidRPr="00C3572A" w:rsidP="00C3572A">
      <w:pPr>
        <w:pStyle w:val="List2"/>
      </w:pPr>
      <w:r>
        <w:t>•</w:t>
      </w:r>
      <w:r>
        <w:tab/>
      </w:r>
      <w:r w:rsidRPr="00C3572A">
        <w:t>acrylic plastics as soft liners</w:t>
      </w:r>
    </w:p>
    <w:p w:rsidR="00000000" w:rsidRPr="00C3572A" w:rsidP="00C3572A">
      <w:pPr>
        <w:pStyle w:val="List2"/>
      </w:pPr>
      <w:r>
        <w:t>•</w:t>
      </w:r>
      <w:r>
        <w:tab/>
      </w:r>
      <w:r w:rsidRPr="00C3572A">
        <w:t>acrylic plastics for denture bases including composition and properties</w:t>
      </w:r>
    </w:p>
    <w:p w:rsidR="00000000" w:rsidRPr="00C3572A" w:rsidP="00C3572A">
      <w:pPr>
        <w:pStyle w:val="List2"/>
      </w:pPr>
      <w:r>
        <w:t>•</w:t>
      </w:r>
      <w:r>
        <w:tab/>
      </w:r>
      <w:r w:rsidRPr="00C3572A">
        <w:t>acrylic-metal combinations</w:t>
      </w:r>
    </w:p>
    <w:p w:rsidR="00000000" w:rsidRPr="00C3572A" w:rsidP="00C3572A">
      <w:pPr>
        <w:pStyle w:val="List2"/>
      </w:pPr>
      <w:r>
        <w:t>•</w:t>
      </w:r>
      <w:r>
        <w:tab/>
      </w:r>
      <w:r w:rsidRPr="00C3572A">
        <w:t>acrylics for con</w:t>
      </w:r>
      <w:r w:rsidRPr="00C3572A">
        <w:t>struction of custom trays</w:t>
      </w:r>
    </w:p>
    <w:p w:rsidR="00000000" w:rsidRPr="00C3572A" w:rsidP="00C3572A">
      <w:pPr>
        <w:pStyle w:val="List2"/>
      </w:pPr>
      <w:r>
        <w:t>•</w:t>
      </w:r>
      <w:r>
        <w:tab/>
      </w:r>
      <w:r w:rsidRPr="00C3572A">
        <w:t>modified acrylic denture base plastics including manipulation and processing</w:t>
      </w:r>
    </w:p>
    <w:p w:rsidR="00000000" w:rsidRPr="00C3572A" w:rsidP="00C3572A">
      <w:pPr>
        <w:pStyle w:val="List2"/>
      </w:pPr>
      <w:r>
        <w:t>•</w:t>
      </w:r>
      <w:r>
        <w:tab/>
      </w:r>
      <w:r w:rsidRPr="00C3572A">
        <w:t>the polymerisation process including cross-linked polymers, copolymers, modified polymers and vinyl plastics</w:t>
      </w:r>
    </w:p>
    <w:p w:rsidR="00000000" w:rsidRPr="00C3572A" w:rsidP="00C3572A">
      <w:pPr>
        <w:pStyle w:val="List"/>
      </w:pPr>
      <w:r w:rsidRPr="00C3572A">
        <w:t>•</w:t>
      </w:r>
      <w:r w:rsidRPr="00C3572A">
        <w:tab/>
        <w:t>mechanical devices:</w:t>
      </w:r>
    </w:p>
    <w:p w:rsidR="00000000" w:rsidRPr="00C3572A" w:rsidP="00C3572A">
      <w:pPr>
        <w:pStyle w:val="List2"/>
      </w:pPr>
      <w:r>
        <w:t>•</w:t>
      </w:r>
      <w:r>
        <w:tab/>
      </w:r>
      <w:r w:rsidRPr="00C3572A">
        <w:t>articulators</w:t>
      </w:r>
    </w:p>
    <w:p w:rsidR="00000000" w:rsidRPr="00C3572A" w:rsidP="00C3572A">
      <w:pPr>
        <w:pStyle w:val="List2"/>
      </w:pPr>
      <w:r>
        <w:t>•</w:t>
      </w:r>
      <w:r>
        <w:tab/>
      </w:r>
      <w:r w:rsidRPr="00C3572A">
        <w:t>face-bows</w:t>
      </w:r>
    </w:p>
    <w:p w:rsidR="00000000" w:rsidRPr="00C3572A" w:rsidP="00C3572A">
      <w:pPr>
        <w:pStyle w:val="List"/>
      </w:pPr>
      <w:r w:rsidRPr="00C3572A">
        <w:t>•</w:t>
      </w:r>
      <w:r w:rsidRPr="00C3572A">
        <w:tab/>
        <w:t>recording techniques and devices</w:t>
      </w:r>
    </w:p>
    <w:p w:rsidR="00E3762E" w:rsidP="00C3572A">
      <w:pPr>
        <w:pStyle w:val="List"/>
      </w:pPr>
      <w:r w:rsidRPr="00C3572A">
        <w:t>•</w:t>
      </w:r>
      <w:r w:rsidRPr="00C3572A">
        <w:tab/>
        <w:t>relevant material science for carrying out procedures.</w:t>
      </w:r>
    </w:p>
    <w:p w:rsidR="00E3762E" w:rsidP="00C3572A">
      <w:pPr>
        <w:pStyle w:val="List"/>
      </w:pPr>
    </w:p>
    <w:p w:rsidR="00000000" w:rsidRPr="00C3572A" w:rsidP="00C3572A">
      <w:pPr>
        <w:pStyle w:val="Heading1"/>
      </w:pPr>
      <w:bookmarkStart w:id="4" w:name="O_820143"/>
      <w:bookmarkEnd w:id="4"/>
      <w:r w:rsidRPr="00C3572A">
        <w:t>Assessment Conditions</w:t>
      </w:r>
    </w:p>
    <w:p w:rsidR="00000000" w:rsidRPr="00C3572A" w:rsidP="00E3762E">
      <w:pPr>
        <w:pStyle w:val="BodyText"/>
      </w:pPr>
      <w:r w:rsidRPr="00C3572A">
        <w:t>Skills must have been demonstrated in a dental laboratory workplace or in a simulated dental laboratory environmen</w:t>
      </w:r>
      <w:r w:rsidRPr="00C3572A">
        <w:t xml:space="preserve">t that reflects workplace laboratory conditions. The following conditions must be met for this unit: </w:t>
      </w:r>
    </w:p>
    <w:p w:rsidR="00000000" w:rsidRPr="00C3572A" w:rsidP="00C3572A">
      <w:pPr>
        <w:pStyle w:val="List"/>
      </w:pPr>
      <w:r w:rsidRPr="00C3572A">
        <w:t>•</w:t>
      </w:r>
      <w:r w:rsidRPr="00C3572A">
        <w:tab/>
        <w:t>use of suitable facilities, equipment and resources including:</w:t>
      </w:r>
    </w:p>
    <w:p w:rsidR="00000000" w:rsidRPr="00C3572A" w:rsidP="00C3572A">
      <w:pPr>
        <w:pStyle w:val="List2"/>
      </w:pPr>
      <w:r>
        <w:t>•</w:t>
      </w:r>
      <w:r>
        <w:tab/>
      </w:r>
      <w:r w:rsidRPr="00C3572A">
        <w:t xml:space="preserve">access to work order </w:t>
      </w:r>
    </w:p>
    <w:p w:rsidR="00000000" w:rsidRPr="00C3572A" w:rsidP="00C3572A">
      <w:pPr>
        <w:pStyle w:val="List2"/>
      </w:pPr>
      <w:r>
        <w:t>•</w:t>
      </w:r>
      <w:r>
        <w:tab/>
      </w:r>
      <w:r w:rsidRPr="00C3572A">
        <w:t>Dental Board of Australia guidelines on infection control on wh</w:t>
      </w:r>
      <w:r w:rsidRPr="00C3572A">
        <w:t>ich the candidate bases the planning process</w:t>
      </w:r>
    </w:p>
    <w:p w:rsidR="00000000" w:rsidRPr="00C3572A" w:rsidP="00C3572A">
      <w:pPr>
        <w:pStyle w:val="List2"/>
      </w:pPr>
      <w:r>
        <w:t>•</w:t>
      </w:r>
      <w:r>
        <w:tab/>
      </w:r>
      <w:r w:rsidRPr="00C3572A">
        <w:t xml:space="preserve">laboratory safety manuals and standard operating procedures in line with relevant Commonwealth and State/Territory legislation </w:t>
      </w:r>
    </w:p>
    <w:p w:rsidR="00000000" w:rsidRPr="00C3572A" w:rsidP="00C3572A">
      <w:pPr>
        <w:pStyle w:val="List2"/>
      </w:pPr>
      <w:r>
        <w:t>•</w:t>
      </w:r>
      <w:r>
        <w:tab/>
      </w:r>
      <w:r w:rsidRPr="00C3572A">
        <w:t>WHS policies on which the candidate bases the planning process.</w:t>
      </w:r>
    </w:p>
    <w:p w:rsidR="00000000" w:rsidRPr="00C3572A" w:rsidP="00E3762E">
      <w:pPr>
        <w:pStyle w:val="BodyText"/>
      </w:pPr>
      <w:r w:rsidRPr="00C3572A">
        <w:t xml:space="preserve">Assessors must </w:t>
      </w:r>
      <w:r w:rsidRPr="00C3572A">
        <w:t>satisfy the Standards for Registered Training Organisations (RTOs) 2015/AQTF mandatory competency requirements for assessors.</w:t>
      </w:r>
    </w:p>
    <w:p w:rsidR="00000000" w:rsidRPr="00C3572A" w:rsidP="00C3572A">
      <w:pPr>
        <w:pStyle w:val="Heading1"/>
      </w:pPr>
      <w:bookmarkStart w:id="5" w:name="O_820146"/>
      <w:bookmarkEnd w:id="5"/>
      <w:r w:rsidRPr="00C3572A">
        <w:t>Links</w:t>
      </w:r>
    </w:p>
    <w:p w:rsidR="00000000" w:rsidRPr="00C3572A" w:rsidP="00E3762E">
      <w:pPr>
        <w:pStyle w:val="BodyText"/>
      </w:pPr>
      <w:r w:rsidRPr="00C3572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1108">
        <w:rPr>
          <w:rStyle w:val="Hyperlink"/>
        </w:rPr>
        <w:t>https://vetnet.gov.au/Pages/TrainingDocs.aspx?q=ced1390f-48d9-4ab0-bd50-b015e5485705</w:t>
      </w:r>
      <w:r>
        <w:fldChar w:fldCharType="end"/>
      </w:r>
    </w:p>
    <w:p w:rsidR="00000000" w:rsidRPr="00C3572A" w:rsidP="00C3572A"/>
    <w:sectPr w:rsidSect="00C35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2A" w:rsidRPr="00E3762E" w:rsidP="00E37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2E" w:rsidP="00C35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762E" w:rsidP="00C357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3762E" w:rsidP="00C35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72A" w:rsidRPr="00E3762E" w:rsidP="00E376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2E" w:rsidRPr="002D2AF8" w:rsidP="00C3572A">
    <w:pPr>
      <w:pStyle w:val="Header"/>
      <w:framePr w:wrap="around"/>
    </w:pPr>
    <w:r>
      <w:fldChar w:fldCharType="begin"/>
    </w:r>
    <w:r>
      <w:instrText xml:space="preserve"> TITLE   \* MERGEFORMAT </w:instrText>
    </w:r>
    <w:r>
      <w:fldChar w:fldCharType="separate"/>
    </w:r>
    <w:r>
      <w:t>Assessment Requirements for HLTDET015 Construct complete removable acrylic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3762E" w:rsidP="00C35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72A"/>
    <w:pPr>
      <w:spacing w:before="360" w:after="60"/>
      <w:outlineLvl w:val="0"/>
    </w:pPr>
    <w:rPr>
      <w:sz w:val="32"/>
    </w:rPr>
  </w:style>
  <w:style w:type="paragraph" w:styleId="Heading2">
    <w:name w:val="heading 2"/>
    <w:basedOn w:val="HeadingBase"/>
    <w:next w:val="BodyText"/>
    <w:link w:val="Heading2Char"/>
    <w:qFormat/>
    <w:rsid w:val="00C3572A"/>
    <w:pPr>
      <w:keepLines/>
      <w:spacing w:before="240" w:after="120"/>
      <w:outlineLvl w:val="1"/>
    </w:pPr>
    <w:rPr>
      <w:sz w:val="28"/>
      <w:szCs w:val="40"/>
    </w:rPr>
  </w:style>
  <w:style w:type="paragraph" w:styleId="Heading3">
    <w:name w:val="heading 3"/>
    <w:basedOn w:val="HeadingBase"/>
    <w:next w:val="BodyText"/>
    <w:link w:val="Heading3Char"/>
    <w:qFormat/>
    <w:rsid w:val="00C3572A"/>
    <w:pPr>
      <w:spacing w:before="180" w:after="120"/>
      <w:outlineLvl w:val="2"/>
    </w:pPr>
    <w:rPr>
      <w:spacing w:val="-10"/>
      <w:kern w:val="32"/>
    </w:rPr>
  </w:style>
  <w:style w:type="paragraph" w:styleId="Heading4">
    <w:name w:val="heading 4"/>
    <w:basedOn w:val="HeadingBase"/>
    <w:next w:val="BodyText"/>
    <w:link w:val="Heading4Char"/>
    <w:qFormat/>
    <w:rsid w:val="00C3572A"/>
    <w:pPr>
      <w:spacing w:before="160" w:after="120"/>
      <w:outlineLvl w:val="3"/>
    </w:pPr>
    <w:rPr>
      <w:sz w:val="22"/>
    </w:rPr>
  </w:style>
  <w:style w:type="paragraph" w:styleId="Heading5">
    <w:name w:val="heading 5"/>
    <w:basedOn w:val="HeadingBase"/>
    <w:next w:val="Normal"/>
    <w:link w:val="Heading5Char"/>
    <w:qFormat/>
    <w:rsid w:val="00C3572A"/>
    <w:pPr>
      <w:spacing w:before="80"/>
      <w:outlineLvl w:val="4"/>
    </w:pPr>
    <w:rPr>
      <w:color w:val="918585"/>
      <w:sz w:val="20"/>
    </w:rPr>
  </w:style>
  <w:style w:type="paragraph" w:styleId="Heading6">
    <w:name w:val="heading 6"/>
    <w:basedOn w:val="HeadingBase"/>
    <w:next w:val="Normal"/>
    <w:link w:val="Heading6Char"/>
    <w:qFormat/>
    <w:rsid w:val="00C3572A"/>
    <w:pPr>
      <w:spacing w:before="60"/>
      <w:outlineLvl w:val="5"/>
    </w:pPr>
    <w:rPr>
      <w:color w:val="918585"/>
      <w:sz w:val="20"/>
    </w:rPr>
  </w:style>
  <w:style w:type="paragraph" w:styleId="Heading7">
    <w:name w:val="heading 7"/>
    <w:basedOn w:val="Normal"/>
    <w:next w:val="Normal"/>
    <w:link w:val="Heading7Char"/>
    <w:qFormat/>
    <w:rsid w:val="00C3572A"/>
    <w:pPr>
      <w:ind w:left="720"/>
      <w:outlineLvl w:val="6"/>
    </w:pPr>
    <w:rPr>
      <w:i/>
    </w:rPr>
  </w:style>
  <w:style w:type="paragraph" w:styleId="Heading8">
    <w:name w:val="heading 8"/>
    <w:basedOn w:val="Normal"/>
    <w:next w:val="Normal"/>
    <w:link w:val="Heading8Char"/>
    <w:qFormat/>
    <w:rsid w:val="00C3572A"/>
    <w:pPr>
      <w:ind w:left="720"/>
      <w:outlineLvl w:val="7"/>
    </w:pPr>
    <w:rPr>
      <w:i/>
    </w:rPr>
  </w:style>
  <w:style w:type="paragraph" w:styleId="Heading9">
    <w:name w:val="heading 9"/>
    <w:basedOn w:val="Normal"/>
    <w:next w:val="Normal"/>
    <w:link w:val="Heading9Char"/>
    <w:qFormat/>
    <w:rsid w:val="00C3572A"/>
    <w:pPr>
      <w:ind w:left="720"/>
      <w:outlineLvl w:val="8"/>
    </w:pPr>
    <w:rPr>
      <w:i/>
    </w:rPr>
  </w:style>
  <w:style w:type="character" w:default="1" w:styleId="DefaultParagraphFont">
    <w:name w:val="Default Paragraph Font"/>
    <w:uiPriority w:val="1"/>
    <w:unhideWhenUsed/>
    <w:rsid w:val="00C35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72A"/>
  </w:style>
  <w:style w:type="character" w:customStyle="1" w:styleId="Heading1Char">
    <w:name w:val="Heading 1 Char"/>
    <w:basedOn w:val="DefaultParagraphFont"/>
    <w:link w:val="Heading1"/>
    <w:rsid w:val="00C3572A"/>
    <w:rPr>
      <w:rFonts w:ascii="Times New Roman" w:eastAsia="Times New Roman" w:hAnsi="Times New Roman" w:cs="Times New Roman"/>
      <w:b/>
      <w:sz w:val="32"/>
      <w:szCs w:val="20"/>
      <w:lang w:eastAsia="en-US"/>
    </w:rPr>
  </w:style>
  <w:style w:type="paragraph" w:styleId="BodyText">
    <w:name w:val="Body Text"/>
    <w:basedOn w:val="Normal"/>
    <w:link w:val="BodyTextChar"/>
    <w:rsid w:val="00C35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72A"/>
    <w:rPr>
      <w:rFonts w:ascii="Times New Roman" w:eastAsia="Times New Roman" w:hAnsi="Times New Roman" w:cs="Times New Roman"/>
      <w:sz w:val="24"/>
      <w:lang w:eastAsia="en-US"/>
    </w:rPr>
  </w:style>
  <w:style w:type="paragraph" w:styleId="List">
    <w:name w:val="List"/>
    <w:basedOn w:val="BodyText"/>
    <w:next w:val="BodyText"/>
    <w:rsid w:val="00C3572A"/>
    <w:pPr>
      <w:tabs>
        <w:tab w:val="left" w:pos="340"/>
      </w:tabs>
      <w:spacing w:before="60" w:after="60"/>
      <w:ind w:left="340" w:hanging="340"/>
    </w:pPr>
  </w:style>
  <w:style w:type="character" w:styleId="Emphasis">
    <w:name w:val="Emphasis"/>
    <w:basedOn w:val="DefaultParagraphFont"/>
    <w:qFormat/>
    <w:rsid w:val="00C3572A"/>
    <w:rPr>
      <w:i/>
    </w:rPr>
  </w:style>
  <w:style w:type="paragraph" w:customStyle="1" w:styleId="SuperHeading">
    <w:name w:val="SuperHeading"/>
    <w:basedOn w:val="Normal"/>
    <w:rsid w:val="00C3572A"/>
    <w:pPr>
      <w:spacing w:before="240" w:after="120"/>
      <w:outlineLvl w:val="0"/>
    </w:pPr>
    <w:rPr>
      <w:rFonts w:ascii="Times New Roman" w:hAnsi="Times New Roman"/>
      <w:b/>
      <w:sz w:val="32"/>
    </w:rPr>
  </w:style>
  <w:style w:type="paragraph" w:customStyle="1" w:styleId="AllowPageBreak">
    <w:name w:val="AllowPageBreak"/>
    <w:rsid w:val="00C357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572A"/>
    <w:pPr>
      <w:tabs>
        <w:tab w:val="left" w:pos="680"/>
      </w:tabs>
      <w:spacing w:before="60" w:after="60"/>
      <w:ind w:left="680" w:hanging="340"/>
    </w:pPr>
  </w:style>
  <w:style w:type="character" w:customStyle="1" w:styleId="Heading2Char">
    <w:name w:val="Heading 2 Char"/>
    <w:basedOn w:val="DefaultParagraphFont"/>
    <w:link w:val="Heading2"/>
    <w:rsid w:val="00C35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72A"/>
    <w:rPr>
      <w:rFonts w:ascii="Courier New" w:eastAsia="Times New Roman" w:hAnsi="Courier New" w:cs="Times New Roman"/>
      <w:i/>
      <w:szCs w:val="20"/>
      <w:lang w:eastAsia="en-US"/>
    </w:rPr>
  </w:style>
  <w:style w:type="paragraph" w:customStyle="1" w:styleId="HeadingBase">
    <w:name w:val="Heading Base"/>
    <w:rsid w:val="00C35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72A"/>
    <w:pPr>
      <w:tabs>
        <w:tab w:val="right" w:leader="dot" w:pos="9072"/>
      </w:tabs>
      <w:ind w:left="567"/>
    </w:pPr>
    <w:rPr>
      <w:szCs w:val="22"/>
    </w:rPr>
  </w:style>
  <w:style w:type="paragraph" w:customStyle="1" w:styleId="TOCBase">
    <w:name w:val="TOC Base"/>
    <w:rsid w:val="00C35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72A"/>
    <w:pPr>
      <w:tabs>
        <w:tab w:val="right" w:leader="dot" w:pos="9072"/>
      </w:tabs>
      <w:spacing w:before="40" w:after="40"/>
      <w:ind w:left="284"/>
    </w:pPr>
    <w:rPr>
      <w:rFonts w:ascii="Times New Roman" w:hAnsi="Times New Roman"/>
    </w:rPr>
  </w:style>
  <w:style w:type="paragraph" w:styleId="TOC1">
    <w:name w:val="toc 1"/>
    <w:basedOn w:val="TOCBase"/>
    <w:next w:val="Normal"/>
    <w:rsid w:val="00C35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72A"/>
    <w:rPr>
      <w:rFonts w:ascii="Times New Roman" w:eastAsia="Times New Roman" w:hAnsi="Times New Roman" w:cs="Times New Roman"/>
      <w:sz w:val="16"/>
      <w:lang w:eastAsia="en-US"/>
    </w:rPr>
  </w:style>
  <w:style w:type="paragraph" w:styleId="Title">
    <w:name w:val="Title"/>
    <w:basedOn w:val="HeadingBase"/>
    <w:link w:val="TitleChar"/>
    <w:qFormat/>
    <w:rsid w:val="00C3572A"/>
    <w:pPr>
      <w:spacing w:before="5040"/>
      <w:jc w:val="center"/>
    </w:pPr>
    <w:rPr>
      <w:sz w:val="48"/>
      <w:szCs w:val="72"/>
      <w:lang w:val="en-US"/>
    </w:rPr>
  </w:style>
  <w:style w:type="character" w:customStyle="1" w:styleId="TitleChar">
    <w:name w:val="Title Char"/>
    <w:basedOn w:val="DefaultParagraphFont"/>
    <w:link w:val="Title"/>
    <w:rsid w:val="00C35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72A"/>
    <w:pPr>
      <w:tabs>
        <w:tab w:val="left" w:pos="3600"/>
        <w:tab w:val="left" w:pos="3958"/>
      </w:tabs>
    </w:pPr>
  </w:style>
  <w:style w:type="paragraph" w:styleId="ListBullet">
    <w:name w:val="List Bullet"/>
    <w:basedOn w:val="List"/>
    <w:rsid w:val="00C3572A"/>
    <w:pPr>
      <w:numPr>
        <w:numId w:val="10"/>
      </w:numPr>
      <w:tabs>
        <w:tab w:val="clear" w:pos="340"/>
      </w:tabs>
      <w:spacing w:before="40" w:after="40"/>
    </w:pPr>
  </w:style>
  <w:style w:type="paragraph" w:customStyle="1" w:styleId="Note">
    <w:name w:val="Note"/>
    <w:basedOn w:val="BodyText"/>
    <w:rsid w:val="00C35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572A"/>
    <w:rPr>
      <w:b/>
      <w:spacing w:val="0"/>
    </w:rPr>
  </w:style>
  <w:style w:type="paragraph" w:customStyle="1" w:styleId="SuperTitle">
    <w:name w:val="SuperTitle"/>
    <w:basedOn w:val="Title"/>
    <w:rsid w:val="00C3572A"/>
    <w:pPr>
      <w:framePr w:wrap="auto" w:hAnchor="text" w:y="6049"/>
    </w:pPr>
    <w:rPr>
      <w:color w:val="000000"/>
      <w:sz w:val="40"/>
    </w:rPr>
  </w:style>
  <w:style w:type="paragraph" w:customStyle="1" w:styleId="TOCTitle">
    <w:name w:val="TOCTitle"/>
    <w:basedOn w:val="Heading1"/>
    <w:rsid w:val="00C3572A"/>
    <w:pPr>
      <w:spacing w:after="240"/>
      <w:jc w:val="center"/>
      <w:outlineLvl w:val="9"/>
    </w:pPr>
    <w:rPr>
      <w:caps/>
    </w:rPr>
  </w:style>
  <w:style w:type="paragraph" w:customStyle="1" w:styleId="Version">
    <w:name w:val="Version"/>
    <w:rsid w:val="00C35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72A"/>
    <w:pPr>
      <w:numPr>
        <w:numId w:val="11"/>
      </w:numPr>
      <w:tabs>
        <w:tab w:val="clear" w:pos="680"/>
      </w:tabs>
    </w:pPr>
  </w:style>
  <w:style w:type="paragraph" w:styleId="Index1">
    <w:name w:val="index 1"/>
    <w:basedOn w:val="Normal"/>
    <w:next w:val="Normal"/>
    <w:semiHidden/>
    <w:rsid w:val="00C3572A"/>
    <w:pPr>
      <w:keepNext w:val="0"/>
      <w:tabs>
        <w:tab w:val="right" w:pos="4176"/>
      </w:tabs>
      <w:ind w:left="198" w:hanging="198"/>
    </w:pPr>
    <w:rPr>
      <w:rFonts w:ascii="Garamond" w:hAnsi="Garamond"/>
    </w:rPr>
  </w:style>
  <w:style w:type="paragraph" w:styleId="IndexHeading">
    <w:name w:val="index heading"/>
    <w:basedOn w:val="Normal"/>
    <w:next w:val="Index1"/>
    <w:semiHidden/>
    <w:rsid w:val="00C3572A"/>
    <w:pPr>
      <w:spacing w:before="120" w:after="120"/>
    </w:pPr>
    <w:rPr>
      <w:rFonts w:ascii="Arial" w:hAnsi="Arial"/>
      <w:b/>
      <w:color w:val="918585"/>
      <w:sz w:val="24"/>
    </w:rPr>
  </w:style>
  <w:style w:type="paragraph" w:styleId="Header">
    <w:name w:val="header"/>
    <w:basedOn w:val="Normal"/>
    <w:link w:val="HeaderChar"/>
    <w:rsid w:val="00C35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72A"/>
    <w:rPr>
      <w:rFonts w:ascii="Times New Roman" w:eastAsia="Times New Roman" w:hAnsi="Times New Roman" w:cs="Times New Roman"/>
      <w:sz w:val="16"/>
      <w:szCs w:val="20"/>
      <w:lang w:val="en-GB" w:eastAsia="en-US"/>
    </w:rPr>
  </w:style>
  <w:style w:type="paragraph" w:customStyle="1" w:styleId="Chapter">
    <w:name w:val="Chapter"/>
    <w:basedOn w:val="Normal"/>
    <w:rsid w:val="00C3572A"/>
    <w:pPr>
      <w:spacing w:before="240"/>
    </w:pPr>
    <w:rPr>
      <w:rFonts w:ascii="Times New Roman" w:hAnsi="Times New Roman"/>
      <w:smallCaps/>
      <w:spacing w:val="80"/>
      <w:sz w:val="28"/>
    </w:rPr>
  </w:style>
  <w:style w:type="paragraph" w:customStyle="1" w:styleId="InChapter">
    <w:name w:val="InChapter"/>
    <w:basedOn w:val="Heading3"/>
    <w:rsid w:val="00C3572A"/>
    <w:pPr>
      <w:spacing w:after="240"/>
      <w:outlineLvl w:val="9"/>
    </w:pPr>
    <w:rPr>
      <w:noProof/>
    </w:rPr>
  </w:style>
  <w:style w:type="paragraph" w:styleId="Index2">
    <w:name w:val="index 2"/>
    <w:basedOn w:val="Normal"/>
    <w:next w:val="Normal"/>
    <w:semiHidden/>
    <w:rsid w:val="00C3572A"/>
    <w:pPr>
      <w:tabs>
        <w:tab w:val="right" w:pos="4176"/>
      </w:tabs>
      <w:ind w:left="568" w:hanging="284"/>
    </w:pPr>
    <w:rPr>
      <w:rFonts w:ascii="Garamond" w:hAnsi="Garamond"/>
    </w:rPr>
  </w:style>
  <w:style w:type="paragraph" w:customStyle="1" w:styleId="Byline">
    <w:name w:val="Byline"/>
    <w:rsid w:val="00C35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72A"/>
    <w:pPr>
      <w:tabs>
        <w:tab w:val="clear" w:pos="3600"/>
        <w:tab w:val="clear" w:pos="3958"/>
      </w:tabs>
      <w:jc w:val="right"/>
    </w:pPr>
  </w:style>
  <w:style w:type="paragraph" w:styleId="Caption">
    <w:name w:val="caption"/>
    <w:basedOn w:val="BodyText"/>
    <w:next w:val="Normal"/>
    <w:qFormat/>
    <w:rsid w:val="00C3572A"/>
    <w:pPr>
      <w:framePr w:w="2268" w:hSpace="181" w:vSpace="181" w:wrap="around" w:vAnchor="text" w:hAnchor="page" w:x="1135" w:y="285" w:anchorLock="1"/>
    </w:pPr>
    <w:rPr>
      <w:i/>
    </w:rPr>
  </w:style>
  <w:style w:type="paragraph" w:customStyle="1" w:styleId="MiniTOCTitle">
    <w:name w:val="MiniTOCTitle"/>
    <w:basedOn w:val="Heading4"/>
    <w:rsid w:val="00C3572A"/>
    <w:pPr>
      <w:spacing w:before="240"/>
      <w:outlineLvl w:val="9"/>
    </w:pPr>
    <w:rPr>
      <w:noProof/>
      <w:sz w:val="24"/>
    </w:rPr>
  </w:style>
  <w:style w:type="paragraph" w:customStyle="1" w:styleId="MiniTOCItem">
    <w:name w:val="MiniTOCItem"/>
    <w:basedOn w:val="ListBullet"/>
    <w:rsid w:val="00C3572A"/>
    <w:pPr>
      <w:numPr>
        <w:numId w:val="0"/>
      </w:numPr>
      <w:tabs>
        <w:tab w:val="right" w:leader="dot" w:pos="6521"/>
      </w:tabs>
      <w:spacing w:before="0" w:after="0"/>
    </w:pPr>
  </w:style>
  <w:style w:type="paragraph" w:customStyle="1" w:styleId="TOFTitle">
    <w:name w:val="TOFTitle"/>
    <w:basedOn w:val="TOCTitle"/>
    <w:rsid w:val="00C3572A"/>
  </w:style>
  <w:style w:type="paragraph" w:styleId="TableofFigures">
    <w:name w:val="table of figures"/>
    <w:basedOn w:val="Normal"/>
    <w:next w:val="Normal"/>
    <w:semiHidden/>
    <w:rsid w:val="00C3572A"/>
    <w:pPr>
      <w:tabs>
        <w:tab w:val="right" w:leader="dot" w:pos="9072"/>
      </w:tabs>
      <w:ind w:left="970" w:hanging="403"/>
    </w:pPr>
    <w:rPr>
      <w:rFonts w:ascii="Times New Roman" w:hAnsi="Times New Roman"/>
      <w:b/>
    </w:rPr>
  </w:style>
  <w:style w:type="paragraph" w:styleId="ListNumber">
    <w:name w:val="List Number"/>
    <w:basedOn w:val="List"/>
    <w:rsid w:val="00C3572A"/>
    <w:pPr>
      <w:numPr>
        <w:numId w:val="13"/>
      </w:numPr>
      <w:tabs>
        <w:tab w:val="clear" w:pos="340"/>
      </w:tabs>
    </w:pPr>
  </w:style>
  <w:style w:type="character" w:customStyle="1" w:styleId="WingdingSymbols">
    <w:name w:val="Wingding Symbols"/>
    <w:rsid w:val="00C3572A"/>
    <w:rPr>
      <w:rFonts w:ascii="Wingdings" w:hAnsi="Wingdings"/>
    </w:rPr>
  </w:style>
  <w:style w:type="paragraph" w:customStyle="1" w:styleId="TableHeading">
    <w:name w:val="Table Heading"/>
    <w:basedOn w:val="HeadingBase"/>
    <w:rsid w:val="00C3572A"/>
    <w:pPr>
      <w:keepLines/>
      <w:pBdr>
        <w:bottom w:val="single" w:sz="6" w:space="1" w:color="918585"/>
      </w:pBdr>
      <w:spacing w:before="240"/>
    </w:pPr>
  </w:style>
  <w:style w:type="character" w:customStyle="1" w:styleId="HotSpot">
    <w:name w:val="HotSpot"/>
    <w:rsid w:val="00C3572A"/>
    <w:rPr>
      <w:color w:val="0033CC"/>
      <w:u w:val="none"/>
    </w:rPr>
  </w:style>
  <w:style w:type="paragraph" w:customStyle="1" w:styleId="BodyTextRight">
    <w:name w:val="Body Text Right"/>
    <w:basedOn w:val="BodyText"/>
    <w:rsid w:val="00C3572A"/>
    <w:pPr>
      <w:spacing w:before="0" w:after="0"/>
      <w:jc w:val="right"/>
    </w:pPr>
  </w:style>
  <w:style w:type="paragraph" w:styleId="Index3">
    <w:name w:val="index 3"/>
    <w:basedOn w:val="ListNumber2"/>
    <w:next w:val="Normal"/>
    <w:semiHidden/>
    <w:rsid w:val="00C3572A"/>
    <w:pPr>
      <w:numPr>
        <w:numId w:val="0"/>
      </w:numPr>
      <w:tabs>
        <w:tab w:val="right" w:leader="dot" w:pos="4176"/>
      </w:tabs>
    </w:pPr>
  </w:style>
  <w:style w:type="paragraph" w:styleId="ListNumber2">
    <w:name w:val="List Number 2"/>
    <w:basedOn w:val="List2"/>
    <w:rsid w:val="00C3572A"/>
    <w:pPr>
      <w:numPr>
        <w:numId w:val="8"/>
      </w:numPr>
      <w:tabs>
        <w:tab w:val="clear" w:pos="1060"/>
      </w:tabs>
    </w:pPr>
  </w:style>
  <w:style w:type="paragraph" w:customStyle="1" w:styleId="MarginNote">
    <w:name w:val="Margin Note"/>
    <w:basedOn w:val="BodyText"/>
    <w:rsid w:val="00C35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72A"/>
    <w:rPr>
      <w:sz w:val="32"/>
    </w:rPr>
  </w:style>
  <w:style w:type="paragraph" w:customStyle="1" w:styleId="HeadingProcedure">
    <w:name w:val="Heading Procedure"/>
    <w:basedOn w:val="HeadingBase"/>
    <w:next w:val="Normal"/>
    <w:rsid w:val="00C3572A"/>
    <w:pPr>
      <w:tabs>
        <w:tab w:val="left" w:pos="0"/>
      </w:tabs>
      <w:spacing w:before="120" w:after="60"/>
    </w:pPr>
    <w:rPr>
      <w:i/>
      <w:color w:val="918585"/>
      <w:sz w:val="22"/>
    </w:rPr>
  </w:style>
  <w:style w:type="paragraph" w:customStyle="1" w:styleId="TableBodyText">
    <w:name w:val="Table Body Text"/>
    <w:basedOn w:val="BodyText"/>
    <w:rsid w:val="00C3572A"/>
    <w:pPr>
      <w:spacing w:before="60" w:after="60"/>
    </w:pPr>
  </w:style>
  <w:style w:type="paragraph" w:styleId="ListContinue">
    <w:name w:val="List Continue"/>
    <w:basedOn w:val="List"/>
    <w:rsid w:val="00C3572A"/>
    <w:pPr>
      <w:ind w:firstLine="0"/>
    </w:pPr>
  </w:style>
  <w:style w:type="paragraph" w:customStyle="1" w:styleId="ListNote">
    <w:name w:val="List Note"/>
    <w:basedOn w:val="List"/>
    <w:rsid w:val="00C3572A"/>
    <w:pPr>
      <w:pBdr>
        <w:top w:val="single" w:sz="6" w:space="2" w:color="918585"/>
        <w:bottom w:val="single" w:sz="6" w:space="2" w:color="918585"/>
      </w:pBdr>
      <w:tabs>
        <w:tab w:val="left" w:pos="1021"/>
      </w:tabs>
      <w:ind w:firstLine="0"/>
    </w:pPr>
  </w:style>
  <w:style w:type="paragraph" w:customStyle="1" w:styleId="Warning">
    <w:name w:val="Warning"/>
    <w:basedOn w:val="BodyText"/>
    <w:rsid w:val="00C3572A"/>
    <w:pPr>
      <w:shd w:val="clear" w:color="auto" w:fill="D9D9D9"/>
      <w:tabs>
        <w:tab w:val="left" w:pos="992"/>
      </w:tabs>
      <w:ind w:left="119" w:right="119"/>
    </w:pPr>
    <w:rPr>
      <w:sz w:val="20"/>
    </w:rPr>
  </w:style>
  <w:style w:type="paragraph" w:customStyle="1" w:styleId="MarginIcons">
    <w:name w:val="Margin Icons"/>
    <w:basedOn w:val="BodyText"/>
    <w:rsid w:val="00C35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72A"/>
    <w:rPr>
      <w:rFonts w:ascii="Courier New" w:hAnsi="Courier New"/>
    </w:rPr>
  </w:style>
  <w:style w:type="paragraph" w:customStyle="1" w:styleId="NoteBullet">
    <w:name w:val="Note Bullet"/>
    <w:basedOn w:val="Note"/>
    <w:rsid w:val="00C3572A"/>
    <w:pPr>
      <w:tabs>
        <w:tab w:val="clear" w:pos="680"/>
      </w:tabs>
      <w:spacing w:before="60" w:after="60"/>
    </w:pPr>
  </w:style>
  <w:style w:type="paragraph" w:customStyle="1" w:styleId="SubHeading2">
    <w:name w:val="SubHeading2"/>
    <w:basedOn w:val="HeadingBase"/>
    <w:rsid w:val="00C3572A"/>
    <w:pPr>
      <w:spacing w:before="240" w:after="60"/>
    </w:pPr>
    <w:rPr>
      <w:sz w:val="20"/>
    </w:rPr>
  </w:style>
  <w:style w:type="paragraph" w:customStyle="1" w:styleId="SubHeading1">
    <w:name w:val="SubHeading1"/>
    <w:basedOn w:val="HeadingBase"/>
    <w:rsid w:val="00C3572A"/>
    <w:pPr>
      <w:spacing w:before="240" w:after="60"/>
    </w:pPr>
    <w:rPr>
      <w:color w:val="918585"/>
      <w:sz w:val="22"/>
    </w:rPr>
  </w:style>
  <w:style w:type="paragraph" w:customStyle="1" w:styleId="SideHeading">
    <w:name w:val="Side Heading"/>
    <w:basedOn w:val="HeadingBase"/>
    <w:rsid w:val="00C35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72A"/>
    <w:pPr>
      <w:numPr>
        <w:numId w:val="9"/>
      </w:numPr>
    </w:pPr>
  </w:style>
  <w:style w:type="paragraph" w:styleId="PlainText">
    <w:name w:val="Plain Text"/>
    <w:basedOn w:val="Normal"/>
    <w:link w:val="PlainTextChar"/>
    <w:rsid w:val="00C3572A"/>
    <w:rPr>
      <w:sz w:val="20"/>
    </w:rPr>
  </w:style>
  <w:style w:type="character" w:customStyle="1" w:styleId="PlainTextChar">
    <w:name w:val="Plain Text Char"/>
    <w:basedOn w:val="DefaultParagraphFont"/>
    <w:link w:val="PlainText"/>
    <w:rsid w:val="00C3572A"/>
    <w:rPr>
      <w:rFonts w:ascii="Courier New" w:eastAsia="Times New Roman" w:hAnsi="Courier New" w:cs="Times New Roman"/>
      <w:sz w:val="20"/>
      <w:szCs w:val="20"/>
      <w:lang w:eastAsia="en-US"/>
    </w:rPr>
  </w:style>
  <w:style w:type="character" w:customStyle="1" w:styleId="MenuOption">
    <w:name w:val="Menu Option"/>
    <w:basedOn w:val="DefaultParagraphFont"/>
    <w:rsid w:val="00C3572A"/>
    <w:rPr>
      <w:b/>
      <w:smallCaps/>
    </w:rPr>
  </w:style>
  <w:style w:type="paragraph" w:customStyle="1" w:styleId="TableListNumber">
    <w:name w:val="Table List Number"/>
    <w:basedOn w:val="ListNumber"/>
    <w:rsid w:val="00C3572A"/>
    <w:pPr>
      <w:numPr>
        <w:numId w:val="0"/>
      </w:numPr>
    </w:pPr>
  </w:style>
  <w:style w:type="paragraph" w:styleId="TOC4">
    <w:name w:val="toc 4"/>
    <w:basedOn w:val="TOCBase"/>
    <w:next w:val="Normal"/>
    <w:semiHidden/>
    <w:rsid w:val="00C3572A"/>
    <w:pPr>
      <w:tabs>
        <w:tab w:val="right" w:leader="dot" w:pos="9071"/>
      </w:tabs>
      <w:ind w:left="1701"/>
    </w:pPr>
  </w:style>
  <w:style w:type="paragraph" w:customStyle="1" w:styleId="ListAlpha">
    <w:name w:val="List Alpha"/>
    <w:basedOn w:val="List"/>
    <w:rsid w:val="00C3572A"/>
    <w:pPr>
      <w:numPr>
        <w:numId w:val="7"/>
      </w:numPr>
    </w:pPr>
  </w:style>
  <w:style w:type="paragraph" w:customStyle="1" w:styleId="ListAlpha2">
    <w:name w:val="List Alpha 2"/>
    <w:basedOn w:val="List2"/>
    <w:rsid w:val="00C3572A"/>
    <w:pPr>
      <w:numPr>
        <w:numId w:val="6"/>
      </w:numPr>
    </w:pPr>
  </w:style>
  <w:style w:type="paragraph" w:styleId="List3">
    <w:name w:val="List 3"/>
    <w:basedOn w:val="BodyText"/>
    <w:rsid w:val="00C3572A"/>
    <w:pPr>
      <w:tabs>
        <w:tab w:val="left" w:pos="1021"/>
      </w:tabs>
      <w:spacing w:before="60" w:after="60"/>
      <w:ind w:left="1020" w:hanging="340"/>
    </w:pPr>
  </w:style>
  <w:style w:type="paragraph" w:styleId="List4">
    <w:name w:val="List 4"/>
    <w:basedOn w:val="BodyText"/>
    <w:rsid w:val="00C3572A"/>
    <w:pPr>
      <w:tabs>
        <w:tab w:val="left" w:pos="1361"/>
      </w:tabs>
      <w:spacing w:before="60" w:after="60"/>
      <w:ind w:left="1361" w:hanging="340"/>
    </w:pPr>
  </w:style>
  <w:style w:type="paragraph" w:styleId="List5">
    <w:name w:val="List 5"/>
    <w:basedOn w:val="BodyText"/>
    <w:rsid w:val="00C3572A"/>
    <w:pPr>
      <w:tabs>
        <w:tab w:val="left" w:pos="1701"/>
      </w:tabs>
      <w:spacing w:before="60" w:after="60"/>
      <w:ind w:left="1701" w:hanging="340"/>
    </w:pPr>
  </w:style>
  <w:style w:type="paragraph" w:styleId="ListBullet3">
    <w:name w:val="List Bullet 3"/>
    <w:basedOn w:val="List3"/>
    <w:rsid w:val="00C3572A"/>
    <w:pPr>
      <w:numPr>
        <w:numId w:val="12"/>
      </w:numPr>
      <w:tabs>
        <w:tab w:val="clear" w:pos="1021"/>
      </w:tabs>
      <w:ind w:left="1037" w:hanging="357"/>
    </w:pPr>
  </w:style>
  <w:style w:type="paragraph" w:styleId="ListBullet4">
    <w:name w:val="List Bullet 4"/>
    <w:basedOn w:val="List4"/>
    <w:rsid w:val="00C3572A"/>
    <w:pPr>
      <w:numPr>
        <w:numId w:val="1"/>
      </w:numPr>
      <w:tabs>
        <w:tab w:val="clear" w:pos="1361"/>
      </w:tabs>
    </w:pPr>
  </w:style>
  <w:style w:type="paragraph" w:styleId="ListBullet5">
    <w:name w:val="List Bullet 5"/>
    <w:basedOn w:val="List5"/>
    <w:rsid w:val="00C3572A"/>
    <w:pPr>
      <w:numPr>
        <w:numId w:val="2"/>
      </w:numPr>
    </w:pPr>
  </w:style>
  <w:style w:type="paragraph" w:styleId="ListContinue2">
    <w:name w:val="List Continue 2"/>
    <w:basedOn w:val="List2"/>
    <w:rsid w:val="00C3572A"/>
    <w:pPr>
      <w:ind w:firstLine="0"/>
    </w:pPr>
  </w:style>
  <w:style w:type="paragraph" w:styleId="ListContinue3">
    <w:name w:val="List Continue 3"/>
    <w:basedOn w:val="List3"/>
    <w:rsid w:val="00C3572A"/>
    <w:pPr>
      <w:ind w:left="1021" w:firstLine="0"/>
    </w:pPr>
  </w:style>
  <w:style w:type="paragraph" w:styleId="ListContinue4">
    <w:name w:val="List Continue 4"/>
    <w:basedOn w:val="List4"/>
    <w:rsid w:val="00C3572A"/>
    <w:pPr>
      <w:ind w:firstLine="0"/>
    </w:pPr>
  </w:style>
  <w:style w:type="paragraph" w:styleId="ListContinue5">
    <w:name w:val="List Continue 5"/>
    <w:basedOn w:val="List5"/>
    <w:rsid w:val="00C3572A"/>
    <w:pPr>
      <w:ind w:firstLine="0"/>
    </w:pPr>
  </w:style>
  <w:style w:type="paragraph" w:styleId="ListNumber3">
    <w:name w:val="List Number 3"/>
    <w:basedOn w:val="List3"/>
    <w:rsid w:val="00C3572A"/>
    <w:pPr>
      <w:numPr>
        <w:numId w:val="3"/>
      </w:numPr>
    </w:pPr>
  </w:style>
  <w:style w:type="paragraph" w:styleId="ListNumber4">
    <w:name w:val="List Number 4"/>
    <w:basedOn w:val="List4"/>
    <w:rsid w:val="00C3572A"/>
    <w:pPr>
      <w:numPr>
        <w:numId w:val="4"/>
      </w:numPr>
    </w:pPr>
  </w:style>
  <w:style w:type="paragraph" w:styleId="ListNumber5">
    <w:name w:val="List Number 5"/>
    <w:basedOn w:val="List5"/>
    <w:rsid w:val="00C3572A"/>
    <w:pPr>
      <w:numPr>
        <w:numId w:val="5"/>
      </w:numPr>
    </w:pPr>
  </w:style>
  <w:style w:type="paragraph" w:styleId="BlockText">
    <w:name w:val="Block Text"/>
    <w:basedOn w:val="Normal"/>
    <w:rsid w:val="00C3572A"/>
    <w:pPr>
      <w:spacing w:after="120"/>
      <w:ind w:left="1440" w:right="1440"/>
    </w:pPr>
  </w:style>
  <w:style w:type="character" w:customStyle="1" w:styleId="Subscript">
    <w:name w:val="Subscript"/>
    <w:basedOn w:val="DefaultParagraphFont"/>
    <w:rsid w:val="00C3572A"/>
    <w:rPr>
      <w:sz w:val="16"/>
      <w:vertAlign w:val="subscript"/>
    </w:rPr>
  </w:style>
  <w:style w:type="character" w:customStyle="1" w:styleId="Superscript">
    <w:name w:val="Superscript"/>
    <w:basedOn w:val="DefaultParagraphFont"/>
    <w:rsid w:val="00C3572A"/>
    <w:rPr>
      <w:sz w:val="16"/>
      <w:vertAlign w:val="superscript"/>
    </w:rPr>
  </w:style>
  <w:style w:type="character" w:customStyle="1" w:styleId="Symbols">
    <w:name w:val="Symbols"/>
    <w:basedOn w:val="DefaultParagraphFont"/>
    <w:rsid w:val="00C3572A"/>
    <w:rPr>
      <w:rFonts w:ascii="Symbol" w:hAnsi="Symbol"/>
    </w:rPr>
  </w:style>
  <w:style w:type="character" w:customStyle="1" w:styleId="MenuOptions">
    <w:name w:val="Menu Options"/>
    <w:basedOn w:val="DefaultParagraphFont"/>
    <w:rsid w:val="00C3572A"/>
    <w:rPr>
      <w:rFonts w:ascii="Arial Narrow" w:hAnsi="Arial Narrow"/>
      <w:smallCaps/>
    </w:rPr>
  </w:style>
  <w:style w:type="character" w:customStyle="1" w:styleId="Buttons">
    <w:name w:val="Buttons"/>
    <w:basedOn w:val="DefaultParagraphFont"/>
    <w:rsid w:val="00C3572A"/>
    <w:rPr>
      <w:b/>
    </w:rPr>
  </w:style>
  <w:style w:type="character" w:customStyle="1" w:styleId="Underlined">
    <w:name w:val="Underlined"/>
    <w:basedOn w:val="DefaultParagraphFont"/>
    <w:rsid w:val="00C3572A"/>
    <w:rPr>
      <w:u w:val="single"/>
    </w:rPr>
  </w:style>
  <w:style w:type="paragraph" w:customStyle="1" w:styleId="TableBodyTextRight">
    <w:name w:val="Table Body Text Right"/>
    <w:basedOn w:val="TableBodyText"/>
    <w:rsid w:val="00C3572A"/>
    <w:pPr>
      <w:widowControl w:val="0"/>
      <w:autoSpaceDE w:val="0"/>
      <w:autoSpaceDN w:val="0"/>
      <w:adjustRightInd w:val="0"/>
      <w:jc w:val="right"/>
    </w:pPr>
    <w:rPr>
      <w:rFonts w:cs="Arial"/>
      <w:szCs w:val="18"/>
    </w:rPr>
  </w:style>
  <w:style w:type="paragraph" w:customStyle="1" w:styleId="CopyrightText">
    <w:name w:val="Copyright Text"/>
    <w:basedOn w:val="BodyText"/>
    <w:rsid w:val="00C3572A"/>
    <w:rPr>
      <w:sz w:val="18"/>
    </w:rPr>
  </w:style>
  <w:style w:type="paragraph" w:customStyle="1" w:styleId="BodySmallRight">
    <w:name w:val="Body Small Right"/>
    <w:basedOn w:val="BodyTextRight"/>
    <w:rsid w:val="00C3572A"/>
    <w:rPr>
      <w:sz w:val="18"/>
      <w:szCs w:val="18"/>
    </w:rPr>
  </w:style>
  <w:style w:type="paragraph" w:customStyle="1" w:styleId="MarginEdition">
    <w:name w:val="Margin Edition"/>
    <w:basedOn w:val="MarginNote"/>
    <w:rsid w:val="00C3572A"/>
    <w:pPr>
      <w:spacing w:before="0" w:after="0"/>
    </w:pPr>
    <w:rPr>
      <w:rFonts w:ascii="Times New Roman" w:hAnsi="Times New Roman"/>
      <w:color w:val="999999"/>
    </w:rPr>
  </w:style>
  <w:style w:type="paragraph" w:customStyle="1" w:styleId="Spacer">
    <w:name w:val="Spacer"/>
    <w:basedOn w:val="Normal"/>
    <w:rsid w:val="00C3572A"/>
    <w:rPr>
      <w:sz w:val="2"/>
      <w:szCs w:val="2"/>
    </w:rPr>
  </w:style>
  <w:style w:type="character" w:customStyle="1" w:styleId="Small">
    <w:name w:val="Small"/>
    <w:basedOn w:val="DefaultParagraphFont"/>
    <w:rsid w:val="00C3572A"/>
    <w:rPr>
      <w:sz w:val="16"/>
    </w:rPr>
  </w:style>
  <w:style w:type="paragraph" w:customStyle="1" w:styleId="WideTable">
    <w:name w:val="Wide Table"/>
    <w:basedOn w:val="Normal"/>
    <w:rsid w:val="00C3572A"/>
    <w:pPr>
      <w:ind w:left="-1418"/>
    </w:pPr>
    <w:rPr>
      <w:sz w:val="2"/>
      <w:szCs w:val="2"/>
    </w:rPr>
  </w:style>
  <w:style w:type="character" w:styleId="PageNumber">
    <w:name w:val="page number"/>
    <w:basedOn w:val="DefaultParagraphFont"/>
    <w:rsid w:val="00C3572A"/>
  </w:style>
  <w:style w:type="paragraph" w:styleId="Quote">
    <w:name w:val="Quote"/>
    <w:basedOn w:val="Heading1"/>
    <w:link w:val="QuoteChar"/>
    <w:qFormat/>
    <w:rsid w:val="00C3572A"/>
    <w:rPr>
      <w:b w:val="0"/>
      <w:sz w:val="72"/>
      <w:szCs w:val="72"/>
      <w:lang w:val="en-NZ"/>
    </w:rPr>
  </w:style>
  <w:style w:type="character" w:customStyle="1" w:styleId="QuoteChar">
    <w:name w:val="Quote Char"/>
    <w:basedOn w:val="DefaultParagraphFont"/>
    <w:link w:val="Quote"/>
    <w:rsid w:val="00C35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72A"/>
    <w:pPr>
      <w:pageBreakBefore/>
    </w:pPr>
  </w:style>
  <w:style w:type="paragraph" w:customStyle="1" w:styleId="Border">
    <w:name w:val="Border"/>
    <w:basedOn w:val="Normal"/>
    <w:qFormat/>
    <w:rsid w:val="00C35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72A"/>
    <w:rPr>
      <w:b/>
      <w:bCs/>
      <w:i/>
      <w:iCs/>
      <w:color w:val="auto"/>
    </w:rPr>
  </w:style>
  <w:style w:type="paragraph" w:styleId="IntenseQuote">
    <w:name w:val="Intense Quote"/>
    <w:basedOn w:val="Normal"/>
    <w:next w:val="Normal"/>
    <w:link w:val="IntenseQuoteChar"/>
    <w:uiPriority w:val="30"/>
    <w:qFormat/>
    <w:rsid w:val="00C35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72A"/>
    <w:rPr>
      <w:smallCaps/>
      <w:color w:val="auto"/>
      <w:u w:val="single"/>
    </w:rPr>
  </w:style>
  <w:style w:type="character" w:styleId="IntenseReference">
    <w:name w:val="Intense Reference"/>
    <w:basedOn w:val="DefaultParagraphFont"/>
    <w:uiPriority w:val="32"/>
    <w:qFormat/>
    <w:rsid w:val="00C3572A"/>
    <w:rPr>
      <w:b/>
      <w:bCs/>
      <w:smallCaps/>
      <w:color w:val="auto"/>
      <w:spacing w:val="5"/>
      <w:u w:val="single"/>
    </w:rPr>
  </w:style>
  <w:style w:type="paragraph" w:customStyle="1" w:styleId="2ColumnHeading">
    <w:name w:val="2Column Heading"/>
    <w:basedOn w:val="BodyText"/>
    <w:qFormat/>
    <w:rsid w:val="00C3572A"/>
    <w:pPr>
      <w:spacing w:after="60"/>
      <w:ind w:left="-2268"/>
    </w:pPr>
    <w:rPr>
      <w:b/>
    </w:rPr>
  </w:style>
  <w:style w:type="paragraph" w:customStyle="1" w:styleId="Heading1TOC">
    <w:name w:val="Heading1 TOC"/>
    <w:basedOn w:val="Normal"/>
    <w:qFormat/>
    <w:rsid w:val="00C3572A"/>
    <w:pPr>
      <w:spacing w:before="240" w:after="120"/>
    </w:pPr>
    <w:rPr>
      <w:rFonts w:ascii="Times New Roman" w:hAnsi="Times New Roman"/>
      <w:b/>
      <w:sz w:val="32"/>
    </w:rPr>
  </w:style>
  <w:style w:type="paragraph" w:customStyle="1" w:styleId="Heading2TOC">
    <w:name w:val="Heading2 TOC"/>
    <w:basedOn w:val="Normal"/>
    <w:qFormat/>
    <w:rsid w:val="00C3572A"/>
    <w:pPr>
      <w:spacing w:before="240" w:after="60"/>
    </w:pPr>
    <w:rPr>
      <w:rFonts w:ascii="Times New Roman" w:hAnsi="Times New Roman"/>
      <w:b/>
      <w:sz w:val="28"/>
    </w:rPr>
  </w:style>
  <w:style w:type="character" w:customStyle="1" w:styleId="Underline">
    <w:name w:val="Underline"/>
    <w:basedOn w:val="DefaultParagraphFont"/>
    <w:qFormat/>
    <w:rsid w:val="00C3572A"/>
    <w:rPr>
      <w:u w:val="single"/>
    </w:rPr>
  </w:style>
  <w:style w:type="character" w:customStyle="1" w:styleId="BoldandItalics">
    <w:name w:val="Bold and Italics"/>
    <w:qFormat/>
    <w:rsid w:val="00C3572A"/>
    <w:rPr>
      <w:b/>
      <w:i/>
      <w:u w:val="none"/>
    </w:rPr>
  </w:style>
  <w:style w:type="paragraph" w:styleId="BalloonText">
    <w:name w:val="Balloon Text"/>
    <w:basedOn w:val="Normal"/>
    <w:link w:val="BalloonTextChar"/>
    <w:rsid w:val="00C3572A"/>
    <w:rPr>
      <w:rFonts w:ascii="Tahoma" w:hAnsi="Tahoma" w:cs="Tahoma"/>
      <w:sz w:val="16"/>
      <w:szCs w:val="16"/>
    </w:rPr>
  </w:style>
  <w:style w:type="character" w:customStyle="1" w:styleId="BalloonTextChar">
    <w:name w:val="Balloon Text Char"/>
    <w:basedOn w:val="DefaultParagraphFont"/>
    <w:link w:val="BalloonText"/>
    <w:rsid w:val="00C35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72A"/>
    <w:rPr>
      <w:b/>
      <w:color w:val="660033"/>
      <w:spacing w:val="0"/>
    </w:rPr>
  </w:style>
  <w:style w:type="paragraph" w:customStyle="1" w:styleId="Nameditemlist">
    <w:name w:val="Named item list"/>
    <w:basedOn w:val="BodyText"/>
    <w:qFormat/>
    <w:rsid w:val="00C3572A"/>
    <w:pPr>
      <w:tabs>
        <w:tab w:val="left" w:pos="2835"/>
      </w:tabs>
      <w:ind w:left="2835" w:hanging="2835"/>
    </w:pPr>
  </w:style>
  <w:style w:type="paragraph" w:customStyle="1" w:styleId="BodyTextnopadding">
    <w:name w:val="Body Text no padding"/>
    <w:basedOn w:val="BodyText"/>
    <w:qFormat/>
    <w:rsid w:val="00C3572A"/>
    <w:pPr>
      <w:spacing w:before="0" w:after="0"/>
    </w:pPr>
  </w:style>
  <w:style w:type="paragraph" w:customStyle="1" w:styleId="BodyTextBold">
    <w:name w:val="Body Text Bold"/>
    <w:basedOn w:val="BodyText"/>
    <w:qFormat/>
    <w:rsid w:val="00C3572A"/>
    <w:rPr>
      <w:b/>
    </w:rPr>
  </w:style>
  <w:style w:type="character" w:styleId="Hyperlink">
    <w:name w:val="Hyperlink"/>
    <w:basedOn w:val="DefaultParagraphFont"/>
    <w:uiPriority w:val="99"/>
    <w:unhideWhenUsed/>
    <w:rsid w:val="00E376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3640</Characters>
  <Application>Microsoft Office Word</Application>
  <DocSecurity>0</DocSecurity>
  <Lines>88</Lines>
  <Paragraphs>64</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HLTDET015 Construct complete removable acrylic dentures and appliances</dc:title>
  <dc:subject>Approved</dc:subject>
  <dc:creator>SkillsIQ</dc:creator>
  <cp:keywords>Release: 1</cp:keywords>
  <dc:description>Review Date: 12 April 2008</dc:description>
  <cp:lastModifiedBy>HSD_TPCMSd.prod</cp:lastModifiedBy>
  <cp:revision>3</cp:revision>
  <dcterms:created xsi:type="dcterms:W3CDTF">2023-07-01T03:59:00Z</dcterms:created>
  <dcterms:modified xsi:type="dcterms:W3CDTF">2023-07-01T03:59:00Z</dcterms:modified>
</cp:coreProperties>
</file>