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B48" w:rsidP="00B73B48">
      <w:pPr>
        <w:pStyle w:val="Title"/>
      </w:pPr>
      <w:r>
        <w:fldChar w:fldCharType="begin"/>
      </w:r>
      <w:r>
        <w:instrText xml:space="preserve"> TITLE   \* MERGEFORMAT </w:instrText>
      </w:r>
      <w:r>
        <w:fldChar w:fldCharType="separate"/>
      </w:r>
      <w:r>
        <w:t>HLTDET014 Repair and modify dentures and appliances</w:t>
      </w:r>
      <w:r>
        <w:fldChar w:fldCharType="end"/>
      </w:r>
    </w:p>
    <w:p w:rsidR="00B73B48" w:rsidP="00B73B48">
      <w:pPr>
        <w:pStyle w:val="Version"/>
        <w:sectPr w:rsidSect="001F42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25A" w:rsidP="001F425A">
      <w:pPr>
        <w:pStyle w:val="SuperHeading"/>
      </w:pPr>
      <w:r w:rsidRPr="001F425A">
        <w:t>HLTDET014 Repair and modify dentures and appliances</w:t>
      </w:r>
    </w:p>
    <w:p w:rsidR="00000000" w:rsidRPr="001F425A" w:rsidP="001F425A">
      <w:pPr>
        <w:pStyle w:val="Heading1"/>
      </w:pPr>
      <w:bookmarkStart w:id="1" w:name="O_820111"/>
      <w:bookmarkEnd w:id="1"/>
      <w:r w:rsidRPr="001F425A">
        <w:t>Modification History</w:t>
      </w:r>
    </w:p>
    <w:tbl>
      <w:tblPr>
        <w:tblW w:w="0" w:type="auto"/>
        <w:tblCellMar>
          <w:left w:w="62" w:type="dxa"/>
          <w:right w:w="62" w:type="dxa"/>
        </w:tblCellMar>
        <w:tblLook w:val="0000"/>
      </w:tblPr>
      <w:tblGrid>
        <w:gridCol w:w="2147"/>
        <w:gridCol w:w="7049"/>
      </w:tblGrid>
      <w:tr w:rsidTr="00B73B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5A">
            <w:pPr>
              <w:pStyle w:val="BodyText"/>
              <w:rPr>
                <w:lang w:val="en-NZ"/>
              </w:rPr>
            </w:pPr>
            <w:r w:rsidRPr="001F425A">
              <w:t xml:space="preserve">Release </w:t>
            </w:r>
            <w:r w:rsidRPr="001F425A">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5A">
            <w:pPr>
              <w:pStyle w:val="BodyText"/>
              <w:rPr>
                <w:lang w:val="en-NZ"/>
              </w:rPr>
            </w:pPr>
            <w:r w:rsidRPr="001F425A">
              <w:t xml:space="preserve">Comments </w:t>
            </w:r>
          </w:p>
        </w:tc>
      </w:tr>
      <w:tr w:rsidTr="00B73B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5A">
            <w:pPr>
              <w:pStyle w:val="BodyText"/>
              <w:rPr>
                <w:lang w:val="en-NZ"/>
              </w:rPr>
            </w:pPr>
            <w:r w:rsidRPr="001F425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25A" w:rsidP="001F425A">
            <w:pPr>
              <w:pStyle w:val="BodyText"/>
            </w:pPr>
            <w:r w:rsidRPr="001F425A">
              <w:t xml:space="preserve">This version was released in </w:t>
            </w:r>
            <w:r w:rsidRPr="001F425A">
              <w:rPr>
                <w:rStyle w:val="Emphasis"/>
              </w:rPr>
              <w:t>HLT Health Training Package release 3.0</w:t>
            </w:r>
            <w:r w:rsidRPr="001F425A">
              <w:t xml:space="preserve"> and meets the requirements of the 2012 Standards for Training Packages.</w:t>
            </w:r>
          </w:p>
          <w:p w:rsidR="00000000" w:rsidRPr="001F425A" w:rsidP="001F425A">
            <w:pPr>
              <w:pStyle w:val="BodyText"/>
            </w:pPr>
            <w:r w:rsidRPr="001F425A">
              <w:t>Minimal changes to the elements and performance criteri</w:t>
            </w:r>
            <w:r w:rsidRPr="001F425A">
              <w:t>a. New evidence requirements for assessment including volume and frequency requirements. Removal of pre-requisites</w:t>
            </w:r>
          </w:p>
          <w:p w:rsidR="00000000" w:rsidRPr="001F425A" w:rsidP="001F425A">
            <w:pPr>
              <w:pStyle w:val="BodyText"/>
            </w:pPr>
            <w:r w:rsidRPr="001F425A">
              <w:t>Supersedes HLTDT518D</w:t>
            </w:r>
          </w:p>
        </w:tc>
      </w:tr>
    </w:tbl>
    <w:p w:rsidR="00000000" w:rsidRPr="001F425A" w:rsidP="001F425A">
      <w:pPr>
        <w:pStyle w:val="BodyText"/>
      </w:pPr>
    </w:p>
    <w:p w:rsidR="00000000" w:rsidRPr="001F425A" w:rsidP="001F425A">
      <w:pPr>
        <w:pStyle w:val="AllowPageBreak"/>
      </w:pPr>
    </w:p>
    <w:p w:rsidR="00000000" w:rsidRPr="001F425A" w:rsidP="001F425A">
      <w:pPr>
        <w:pStyle w:val="Heading1"/>
      </w:pPr>
      <w:bookmarkStart w:id="2" w:name="O_820112"/>
      <w:bookmarkEnd w:id="2"/>
      <w:r w:rsidRPr="001F425A">
        <w:t>Application</w:t>
      </w:r>
    </w:p>
    <w:p w:rsidR="00000000" w:rsidRPr="001F425A" w:rsidP="00B73B48">
      <w:pPr>
        <w:pStyle w:val="BodyText"/>
      </w:pPr>
      <w:r w:rsidRPr="001F425A">
        <w:t>This unit of competency describes the skills and knowledge required to reline, rebase, re</w:t>
      </w:r>
      <w:r w:rsidRPr="001F425A">
        <w:t>pair and modify removable prostheses.</w:t>
      </w:r>
    </w:p>
    <w:p w:rsidR="00000000" w:rsidRPr="001F425A" w:rsidP="00B73B48">
      <w:pPr>
        <w:pStyle w:val="BodyText"/>
      </w:pPr>
      <w:r w:rsidRPr="001F425A">
        <w:t>This unit applies to work in dental technology.</w:t>
      </w:r>
    </w:p>
    <w:p w:rsidR="00B73B48" w:rsidRPr="00B73B48" w:rsidP="00B73B48">
      <w:pPr>
        <w:pStyle w:val="BodyText"/>
        <w:rPr>
          <w:i/>
        </w:rPr>
      </w:pPr>
      <w:r w:rsidRPr="00B73B48">
        <w:rPr>
          <w:rStyle w:val="Emphasis"/>
        </w:rPr>
        <w:t>The skills in this unit must be applied in accordance with Commonwealth and State/Territory legislation, Australian/New Zealand Standards and industry codes of practice</w:t>
      </w:r>
      <w:r w:rsidRPr="00B73B48">
        <w:rPr>
          <w:i/>
        </w:rPr>
        <w:t>.</w:t>
      </w:r>
    </w:p>
    <w:p w:rsidR="00000000" w:rsidRPr="001F425A" w:rsidP="001F425A">
      <w:pPr>
        <w:pStyle w:val="Heading1"/>
      </w:pPr>
      <w:bookmarkStart w:id="3" w:name="O_820116"/>
      <w:bookmarkEnd w:id="3"/>
      <w:r w:rsidRPr="001F425A">
        <w:t>Elements and Performance Criteria</w:t>
      </w:r>
    </w:p>
    <w:tbl>
      <w:tblPr>
        <w:tblW w:w="0" w:type="auto"/>
        <w:tblLayout w:type="fixed"/>
        <w:tblCellMar>
          <w:left w:w="62" w:type="dxa"/>
          <w:right w:w="62" w:type="dxa"/>
        </w:tblCellMar>
        <w:tblLook w:val="0000"/>
      </w:tblPr>
      <w:tblGrid>
        <w:gridCol w:w="3261"/>
        <w:gridCol w:w="5702"/>
      </w:tblGrid>
      <w:tr w:rsidTr="001F425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F425A" w:rsidP="001F425A">
            <w:pPr>
              <w:pStyle w:val="BodyText"/>
            </w:pPr>
            <w:r w:rsidRPr="001F425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F425A">
            <w:pPr>
              <w:pStyle w:val="BodyText"/>
              <w:rPr>
                <w:lang w:val="en-NZ"/>
              </w:rPr>
            </w:pPr>
            <w:r w:rsidRPr="001F425A">
              <w:rPr>
                <w:rStyle w:val="SpecialBold"/>
              </w:rPr>
              <w:t>PERFORMANCE CRITERIA</w:t>
            </w:r>
          </w:p>
        </w:tc>
      </w:tr>
      <w:tr w:rsidTr="001F425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1F425A">
            <w:pPr>
              <w:pStyle w:val="BodyText"/>
              <w:rPr>
                <w:lang w:val="en-NZ"/>
              </w:rPr>
            </w:pPr>
            <w:r w:rsidRPr="001F425A">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F425A">
            <w:pPr>
              <w:pStyle w:val="BodyText"/>
              <w:rPr>
                <w:lang w:val="en-NZ"/>
              </w:rPr>
            </w:pPr>
            <w:r w:rsidRPr="001F425A">
              <w:t>Performance criteria describe the performance needed to demonstrate achievement of the element.</w:t>
            </w:r>
          </w:p>
        </w:tc>
      </w:tr>
      <w:tr w:rsidTr="001F42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F425A">
            <w:pPr>
              <w:pStyle w:val="BodyText"/>
              <w:rPr>
                <w:lang w:val="en-NZ"/>
              </w:rPr>
            </w:pPr>
            <w:r w:rsidRPr="001F425A">
              <w:t>1. Prepare case</w:t>
            </w:r>
          </w:p>
        </w:tc>
        <w:tc>
          <w:tcPr>
            <w:tcW w:w="5702" w:type="dxa"/>
            <w:tcBorders>
              <w:top w:val="nil"/>
              <w:left w:val="nil"/>
              <w:bottom w:val="nil"/>
              <w:right w:val="nil"/>
            </w:tcBorders>
            <w:tcMar>
              <w:top w:w="0" w:type="dxa"/>
              <w:left w:w="62" w:type="dxa"/>
              <w:bottom w:w="0" w:type="dxa"/>
              <w:right w:w="62" w:type="dxa"/>
            </w:tcMar>
          </w:tcPr>
          <w:p w:rsidR="00000000" w:rsidRPr="001F425A" w:rsidP="001F425A">
            <w:pPr>
              <w:pStyle w:val="BodyText"/>
            </w:pPr>
            <w:r w:rsidRPr="001F425A">
              <w:t>1.1 Apply standard precautions when receiving, handling and working on dentures and appliances</w:t>
            </w:r>
          </w:p>
          <w:p w:rsidR="00000000" w:rsidRPr="001F425A" w:rsidP="001F425A">
            <w:pPr>
              <w:pStyle w:val="BodyText"/>
            </w:pPr>
            <w:r w:rsidRPr="001F425A">
              <w:t>1.2 Decontaminate dentures and appliances according to infection control guidelines</w:t>
            </w:r>
          </w:p>
          <w:p w:rsidR="00000000" w:rsidRPr="001F425A" w:rsidP="001F425A">
            <w:pPr>
              <w:pStyle w:val="BodyText"/>
            </w:pPr>
            <w:r w:rsidRPr="001F425A">
              <w:t>1.3 Read and correctly interpret work order</w:t>
            </w:r>
          </w:p>
          <w:p w:rsidR="00000000" w:rsidRPr="001F425A" w:rsidP="001F425A">
            <w:pPr>
              <w:pStyle w:val="BodyText"/>
            </w:pPr>
            <w:r w:rsidRPr="001F425A">
              <w:t xml:space="preserve">1.4 Examine fractured components </w:t>
            </w:r>
            <w:r w:rsidRPr="001F425A">
              <w:t>for defects</w:t>
            </w:r>
          </w:p>
          <w:p w:rsidR="00000000" w:rsidRPr="001F425A" w:rsidP="001F425A">
            <w:pPr>
              <w:pStyle w:val="BodyText"/>
            </w:pPr>
            <w:r w:rsidRPr="001F425A">
              <w:t>1.5 Realign, position and secure fractured components in their correct relationship</w:t>
            </w:r>
          </w:p>
          <w:p w:rsidR="00000000" w:rsidP="001F425A">
            <w:pPr>
              <w:pStyle w:val="BodyText"/>
              <w:rPr>
                <w:lang w:val="en-NZ"/>
              </w:rPr>
            </w:pPr>
          </w:p>
        </w:tc>
      </w:tr>
      <w:tr w:rsidTr="001F42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F425A">
            <w:pPr>
              <w:pStyle w:val="BodyText"/>
              <w:rPr>
                <w:lang w:val="en-NZ"/>
              </w:rPr>
            </w:pPr>
            <w:r w:rsidRPr="001F425A">
              <w:t>2. Prepare model</w:t>
            </w:r>
          </w:p>
        </w:tc>
        <w:tc>
          <w:tcPr>
            <w:tcW w:w="5702" w:type="dxa"/>
            <w:tcBorders>
              <w:top w:val="nil"/>
              <w:left w:val="nil"/>
              <w:bottom w:val="nil"/>
              <w:right w:val="nil"/>
            </w:tcBorders>
            <w:tcMar>
              <w:top w:w="0" w:type="dxa"/>
              <w:left w:w="62" w:type="dxa"/>
              <w:bottom w:w="0" w:type="dxa"/>
              <w:right w:w="62" w:type="dxa"/>
            </w:tcMar>
          </w:tcPr>
          <w:p w:rsidR="00000000" w:rsidRPr="001F425A" w:rsidP="001F425A">
            <w:pPr>
              <w:pStyle w:val="BodyText"/>
            </w:pPr>
            <w:r w:rsidRPr="001F425A">
              <w:t>2.1 Construct model according to the work order.</w:t>
            </w:r>
          </w:p>
          <w:p w:rsidR="00000000" w:rsidRPr="001F425A" w:rsidP="001F425A">
            <w:pPr>
              <w:pStyle w:val="BodyText"/>
            </w:pPr>
            <w:r w:rsidRPr="001F425A">
              <w:t>2.2 Construct articulation key</w:t>
            </w:r>
          </w:p>
          <w:p w:rsidR="00000000" w:rsidP="001F425A">
            <w:pPr>
              <w:pStyle w:val="BodyText"/>
              <w:rPr>
                <w:lang w:val="en-NZ"/>
              </w:rPr>
            </w:pPr>
          </w:p>
        </w:tc>
      </w:tr>
      <w:tr w:rsidTr="001F42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F425A">
            <w:pPr>
              <w:pStyle w:val="BodyText"/>
              <w:rPr>
                <w:lang w:val="en-NZ"/>
              </w:rPr>
            </w:pPr>
            <w:r w:rsidRPr="001F425A">
              <w:t>3. Repair denture or appliance</w:t>
            </w:r>
          </w:p>
        </w:tc>
        <w:tc>
          <w:tcPr>
            <w:tcW w:w="5702" w:type="dxa"/>
            <w:tcBorders>
              <w:top w:val="nil"/>
              <w:left w:val="nil"/>
              <w:bottom w:val="nil"/>
              <w:right w:val="nil"/>
            </w:tcBorders>
            <w:tcMar>
              <w:top w:w="0" w:type="dxa"/>
              <w:left w:w="62" w:type="dxa"/>
              <w:bottom w:w="0" w:type="dxa"/>
              <w:right w:w="62" w:type="dxa"/>
            </w:tcMar>
          </w:tcPr>
          <w:p w:rsidR="00000000" w:rsidRPr="001F425A" w:rsidP="001F425A">
            <w:pPr>
              <w:pStyle w:val="BodyText"/>
            </w:pPr>
            <w:r w:rsidRPr="001F425A">
              <w:t>3.1 Prepare and shape denture surfaces to allow for bonding with the new material</w:t>
            </w:r>
          </w:p>
          <w:p w:rsidR="00000000" w:rsidRPr="001F425A" w:rsidP="001F425A">
            <w:pPr>
              <w:pStyle w:val="BodyText"/>
            </w:pPr>
            <w:r w:rsidRPr="001F425A">
              <w:t>3.2 Relocate components</w:t>
            </w:r>
          </w:p>
          <w:p w:rsidR="00000000" w:rsidRPr="001F425A" w:rsidP="001F425A">
            <w:pPr>
              <w:pStyle w:val="BodyText"/>
            </w:pPr>
            <w:r w:rsidRPr="001F425A">
              <w:t>3.3 Select and prepare materials and processing equipment</w:t>
            </w:r>
          </w:p>
          <w:p w:rsidR="00000000" w:rsidRPr="001F425A" w:rsidP="001F425A">
            <w:pPr>
              <w:pStyle w:val="BodyText"/>
            </w:pPr>
            <w:r w:rsidRPr="001F425A">
              <w:t>3.4 Apply repair materials using the correct technique to the required shape and thickness</w:t>
            </w:r>
          </w:p>
          <w:p w:rsidR="00000000" w:rsidRPr="001F425A" w:rsidP="001F425A">
            <w:pPr>
              <w:pStyle w:val="BodyText"/>
            </w:pPr>
            <w:r w:rsidRPr="001F425A">
              <w:t>3</w:t>
            </w:r>
            <w:r w:rsidRPr="001F425A">
              <w:t>.5 Process materials according to manufacturers’ instructions</w:t>
            </w:r>
          </w:p>
          <w:p w:rsidR="00000000" w:rsidP="001F425A">
            <w:pPr>
              <w:pStyle w:val="BodyText"/>
              <w:rPr>
                <w:lang w:val="en-NZ"/>
              </w:rPr>
            </w:pPr>
          </w:p>
        </w:tc>
      </w:tr>
      <w:tr w:rsidTr="001F42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F425A">
            <w:pPr>
              <w:pStyle w:val="BodyText"/>
              <w:rPr>
                <w:lang w:val="en-NZ"/>
              </w:rPr>
            </w:pPr>
            <w:r w:rsidRPr="001F425A">
              <w:t>4. Modify denture or appliance where required</w:t>
            </w:r>
          </w:p>
        </w:tc>
        <w:tc>
          <w:tcPr>
            <w:tcW w:w="5702" w:type="dxa"/>
            <w:tcBorders>
              <w:top w:val="nil"/>
              <w:left w:val="nil"/>
              <w:bottom w:val="nil"/>
              <w:right w:val="nil"/>
            </w:tcBorders>
            <w:tcMar>
              <w:top w:w="0" w:type="dxa"/>
              <w:left w:w="62" w:type="dxa"/>
              <w:bottom w:w="0" w:type="dxa"/>
              <w:right w:w="62" w:type="dxa"/>
            </w:tcMar>
          </w:tcPr>
          <w:p w:rsidR="00000000" w:rsidRPr="001F425A" w:rsidP="001F425A">
            <w:pPr>
              <w:pStyle w:val="BodyText"/>
            </w:pPr>
            <w:r w:rsidRPr="001F425A">
              <w:t>4.1 Decontaminate impressions according to infection control guidelines</w:t>
            </w:r>
          </w:p>
          <w:p w:rsidR="00000000" w:rsidRPr="001F425A" w:rsidP="001F425A">
            <w:pPr>
              <w:pStyle w:val="BodyText"/>
            </w:pPr>
            <w:r w:rsidRPr="001F425A">
              <w:t>4.2 Pour the model material into the impression in accordance with accepte</w:t>
            </w:r>
            <w:r w:rsidRPr="001F425A">
              <w:t>d techniques</w:t>
            </w:r>
          </w:p>
          <w:p w:rsidR="00000000" w:rsidRPr="001F425A" w:rsidP="001F425A">
            <w:pPr>
              <w:pStyle w:val="BodyText"/>
            </w:pPr>
            <w:r w:rsidRPr="001F425A">
              <w:t>4.3 Articulate case and transfer records, or construct articulation key as required</w:t>
            </w:r>
          </w:p>
          <w:p w:rsidR="00000000" w:rsidRPr="001F425A" w:rsidP="001F425A">
            <w:pPr>
              <w:pStyle w:val="BodyText"/>
            </w:pPr>
            <w:r w:rsidRPr="001F425A">
              <w:t>4.4 Prepare denture or appliance surfaces appropriately for the modification to be made</w:t>
            </w:r>
          </w:p>
          <w:p w:rsidR="00000000" w:rsidRPr="001F425A" w:rsidP="001F425A">
            <w:pPr>
              <w:pStyle w:val="BodyText"/>
            </w:pPr>
            <w:r w:rsidRPr="001F425A">
              <w:t>4.5 Reline, re-base or modify the denture in accordance with work order</w:t>
            </w:r>
          </w:p>
          <w:p w:rsidR="00000000" w:rsidP="001F425A">
            <w:pPr>
              <w:pStyle w:val="BodyText"/>
              <w:rPr>
                <w:lang w:val="en-NZ"/>
              </w:rPr>
            </w:pPr>
          </w:p>
        </w:tc>
      </w:tr>
      <w:tr w:rsidTr="001F42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F425A">
            <w:pPr>
              <w:pStyle w:val="BodyText"/>
              <w:rPr>
                <w:lang w:val="en-NZ"/>
              </w:rPr>
            </w:pPr>
            <w:r w:rsidRPr="001F425A">
              <w:t>5. Trim, shape and finish denture or appliance</w:t>
            </w:r>
          </w:p>
        </w:tc>
        <w:tc>
          <w:tcPr>
            <w:tcW w:w="5702" w:type="dxa"/>
            <w:tcBorders>
              <w:top w:val="nil"/>
              <w:left w:val="nil"/>
              <w:bottom w:val="nil"/>
              <w:right w:val="nil"/>
            </w:tcBorders>
            <w:tcMar>
              <w:top w:w="0" w:type="dxa"/>
              <w:left w:w="62" w:type="dxa"/>
              <w:bottom w:w="0" w:type="dxa"/>
              <w:right w:w="62" w:type="dxa"/>
            </w:tcMar>
          </w:tcPr>
          <w:p w:rsidR="00000000" w:rsidRPr="001F425A" w:rsidP="001F425A">
            <w:pPr>
              <w:pStyle w:val="BodyText"/>
            </w:pPr>
            <w:r w:rsidRPr="001F425A">
              <w:t>5.1 Trim denture or appliance to relevant anatomical outline or required extension of the base</w:t>
            </w:r>
          </w:p>
          <w:p w:rsidR="00000000" w:rsidRPr="001F425A" w:rsidP="001F425A">
            <w:pPr>
              <w:pStyle w:val="BodyText"/>
            </w:pPr>
            <w:r w:rsidRPr="001F425A">
              <w:t>5.2 Examine the tissue fitting surface and remove any processing anomalies and sharp surfaces</w:t>
            </w:r>
          </w:p>
          <w:p w:rsidR="00000000" w:rsidRPr="001F425A" w:rsidP="001F425A">
            <w:pPr>
              <w:pStyle w:val="BodyText"/>
            </w:pPr>
            <w:r w:rsidRPr="001F425A">
              <w:t>5.3 Refine and po</w:t>
            </w:r>
            <w:r w:rsidRPr="001F425A">
              <w:t>lish surfaces and produce required contours</w:t>
            </w:r>
          </w:p>
          <w:p w:rsidR="00000000" w:rsidRPr="001F425A" w:rsidP="001F425A">
            <w:pPr>
              <w:pStyle w:val="BodyText"/>
            </w:pPr>
            <w:r w:rsidRPr="001F425A">
              <w:t>5.4 Evaluate the finished prosthesis</w:t>
            </w:r>
          </w:p>
          <w:p w:rsidR="00000000" w:rsidRPr="001F425A" w:rsidP="001F425A">
            <w:pPr>
              <w:pStyle w:val="BodyText"/>
            </w:pPr>
            <w:r w:rsidRPr="001F425A">
              <w:t>5.5 Decontaminate the appliance according to infection control guidelines</w:t>
            </w:r>
          </w:p>
          <w:p w:rsidR="00000000" w:rsidRPr="001F425A" w:rsidP="001F425A">
            <w:pPr>
              <w:pStyle w:val="BodyText"/>
            </w:pPr>
            <w:r w:rsidRPr="001F425A">
              <w:t>5.6 Place the appliance in a sealed container for dispatch</w:t>
            </w:r>
          </w:p>
        </w:tc>
      </w:tr>
    </w:tbl>
    <w:p w:rsidR="00000000" w:rsidRPr="001F425A" w:rsidP="001F425A">
      <w:pPr>
        <w:pStyle w:val="BodyText"/>
      </w:pPr>
    </w:p>
    <w:p w:rsidR="00000000" w:rsidRPr="001F425A" w:rsidP="001F425A">
      <w:pPr>
        <w:pStyle w:val="AllowPageBreak"/>
      </w:pPr>
    </w:p>
    <w:p w:rsidR="00000000" w:rsidRPr="001F425A" w:rsidP="001F425A">
      <w:pPr>
        <w:pStyle w:val="Heading1"/>
      </w:pPr>
      <w:bookmarkStart w:id="4" w:name="O_820117"/>
      <w:bookmarkEnd w:id="4"/>
      <w:r w:rsidRPr="001F425A">
        <w:t>Foundation Skills</w:t>
      </w:r>
    </w:p>
    <w:tbl>
      <w:tblPr>
        <w:tblW w:w="0" w:type="auto"/>
        <w:tblCellMar>
          <w:left w:w="62" w:type="dxa"/>
          <w:right w:w="62" w:type="dxa"/>
        </w:tblCellMar>
        <w:tblLook w:val="0000"/>
      </w:tblPr>
      <w:tblGrid>
        <w:gridCol w:w="9196"/>
      </w:tblGrid>
      <w:tr w:rsidTr="00B73B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25A">
            <w:pPr>
              <w:pStyle w:val="BodyText"/>
              <w:rPr>
                <w:lang w:val="en-NZ"/>
              </w:rPr>
            </w:pPr>
            <w:r w:rsidRPr="001F425A">
              <w:rPr>
                <w:rStyle w:val="Emphasis"/>
              </w:rPr>
              <w:t xml:space="preserve">The Foundation Skills describe those required skills (language, literacy, numeracy and employment skills) that </w:t>
            </w:r>
            <w:r w:rsidRPr="001F425A">
              <w:t xml:space="preserve">are essential to </w:t>
            </w:r>
            <w:r w:rsidRPr="001F425A">
              <w:rPr>
                <w:rStyle w:val="Emphasis"/>
              </w:rPr>
              <w:t>performance.</w:t>
            </w:r>
          </w:p>
        </w:tc>
      </w:tr>
      <w:tr w:rsidTr="00B73B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25A" w:rsidP="001F425A">
            <w:pPr>
              <w:pStyle w:val="BodyText"/>
            </w:pPr>
            <w:r w:rsidRPr="001F425A">
              <w:t>Foundation skills essential to performance are explicit in the performance criteria of this unit of competency.</w:t>
            </w:r>
          </w:p>
        </w:tc>
      </w:tr>
    </w:tbl>
    <w:p w:rsidR="00B73B48" w:rsidP="001F425A">
      <w:pPr>
        <w:pStyle w:val="BodyText"/>
      </w:pPr>
    </w:p>
    <w:p w:rsidR="00B73B48" w:rsidP="001F425A">
      <w:pPr>
        <w:pStyle w:val="BodyText"/>
      </w:pPr>
    </w:p>
    <w:p w:rsidR="00000000" w:rsidRPr="001F425A" w:rsidP="001F425A">
      <w:pPr>
        <w:pStyle w:val="Heading1"/>
      </w:pPr>
      <w:bookmarkStart w:id="5" w:name="O_820119"/>
      <w:bookmarkEnd w:id="5"/>
      <w:r w:rsidRPr="001F425A">
        <w:t>Unit Mapping Information</w:t>
      </w:r>
    </w:p>
    <w:p w:rsidR="00000000" w:rsidRPr="001F425A" w:rsidP="00B73B48">
      <w:pPr>
        <w:pStyle w:val="BodyText"/>
      </w:pPr>
      <w:r w:rsidRPr="001F425A">
        <w:t xml:space="preserve">No Equivalent Unit </w:t>
      </w:r>
    </w:p>
    <w:p w:rsidR="00000000" w:rsidRPr="001F425A" w:rsidP="001F425A">
      <w:pPr>
        <w:pStyle w:val="Heading1"/>
      </w:pPr>
      <w:bookmarkStart w:id="6" w:name="O_820126"/>
      <w:bookmarkEnd w:id="6"/>
      <w:r w:rsidRPr="001F425A">
        <w:t>Links</w:t>
      </w:r>
    </w:p>
    <w:p w:rsidR="00000000" w:rsidRPr="001F425A" w:rsidP="00B73B48">
      <w:pPr>
        <w:pStyle w:val="BodyText"/>
      </w:pPr>
      <w:r w:rsidRPr="001F42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322B2">
        <w:rPr>
          <w:rStyle w:val="Hyperlink"/>
        </w:rPr>
        <w:t>https://vetnet.gov.au/Pages/TrainingDocs.aspx?q=ced1390f-48d9-4ab0-bd50-b015e5485705</w:t>
      </w:r>
      <w:r>
        <w:fldChar w:fldCharType="end"/>
      </w:r>
    </w:p>
    <w:p w:rsidR="00000000" w:rsidRPr="001F425A" w:rsidP="00B73B48">
      <w:pPr>
        <w:pStyle w:val="BodyText"/>
        <w:sectPr w:rsidSect="001F425A">
          <w:headerReference w:type="default" r:id="rId10"/>
          <w:footerReference w:type="default" r:id="rId11"/>
          <w:pgSz w:w="11908" w:h="16833"/>
          <w:pgMar w:top="1702" w:right="1418" w:bottom="1702" w:left="1418" w:header="992" w:footer="992" w:gutter="0"/>
          <w:cols w:space="720"/>
          <w:noEndnote/>
          <w:docGrid w:linePitch="299"/>
        </w:sectPr>
      </w:pPr>
    </w:p>
    <w:p w:rsidR="00000000" w:rsidRPr="001F425A" w:rsidP="001F425A">
      <w:pPr>
        <w:pStyle w:val="SuperHeading"/>
      </w:pPr>
      <w:r w:rsidRPr="001F425A">
        <w:t>Assessment Requirements for HLTDET014 Repair and modify dentures and appliances</w:t>
      </w:r>
    </w:p>
    <w:p w:rsidR="00000000" w:rsidRPr="001F425A" w:rsidP="001F425A">
      <w:pPr>
        <w:pStyle w:val="Heading1"/>
      </w:pPr>
      <w:bookmarkStart w:id="7" w:name="O_820121"/>
      <w:bookmarkEnd w:id="7"/>
      <w:r w:rsidRPr="001F425A">
        <w:t>Modification History</w:t>
      </w:r>
    </w:p>
    <w:tbl>
      <w:tblPr>
        <w:tblW w:w="0" w:type="auto"/>
        <w:tblCellMar>
          <w:left w:w="62" w:type="dxa"/>
          <w:right w:w="62" w:type="dxa"/>
        </w:tblCellMar>
        <w:tblLook w:val="0000"/>
      </w:tblPr>
      <w:tblGrid>
        <w:gridCol w:w="2147"/>
        <w:gridCol w:w="7049"/>
      </w:tblGrid>
      <w:tr w:rsidTr="00B73B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5A">
            <w:pPr>
              <w:pStyle w:val="BodyText"/>
              <w:rPr>
                <w:lang w:val="en-NZ"/>
              </w:rPr>
            </w:pPr>
            <w:r w:rsidRPr="001F425A">
              <w:t xml:space="preserve">Release </w:t>
            </w:r>
            <w:r w:rsidRPr="001F425A">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5A">
            <w:pPr>
              <w:pStyle w:val="BodyText"/>
              <w:rPr>
                <w:lang w:val="en-NZ"/>
              </w:rPr>
            </w:pPr>
            <w:r w:rsidRPr="001F425A">
              <w:t xml:space="preserve">Comments </w:t>
            </w:r>
          </w:p>
        </w:tc>
      </w:tr>
      <w:tr w:rsidTr="00B73B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5A">
            <w:pPr>
              <w:pStyle w:val="BodyText"/>
              <w:rPr>
                <w:lang w:val="en-NZ"/>
              </w:rPr>
            </w:pPr>
            <w:r w:rsidRPr="001F425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25A" w:rsidP="001F425A">
            <w:pPr>
              <w:pStyle w:val="BodyText"/>
            </w:pPr>
            <w:r w:rsidRPr="001F425A">
              <w:t xml:space="preserve">This version was released in </w:t>
            </w:r>
            <w:r w:rsidRPr="001F425A">
              <w:rPr>
                <w:rStyle w:val="Emphasis"/>
              </w:rPr>
              <w:t>HLT Health Training Package relea</w:t>
            </w:r>
            <w:r w:rsidRPr="001F425A">
              <w:rPr>
                <w:rStyle w:val="Emphasis"/>
              </w:rPr>
              <w:t>se 3.0</w:t>
            </w:r>
            <w:r w:rsidRPr="001F425A">
              <w:t xml:space="preserve"> and meets the requirements of the 2012 Standards for Training Packages.</w:t>
            </w:r>
          </w:p>
          <w:p w:rsidR="00000000" w:rsidRPr="001F425A" w:rsidP="001F425A">
            <w:pPr>
              <w:pStyle w:val="BodyText"/>
            </w:pPr>
            <w:r w:rsidRPr="001F425A">
              <w:t>Minimal changes to the elements and performance criteria. New evidence requirements for assessment including volume and frequency requirements. Removal of pre-requisites</w:t>
            </w:r>
          </w:p>
          <w:p w:rsidR="00000000" w:rsidRPr="001F425A" w:rsidP="001F425A">
            <w:pPr>
              <w:pStyle w:val="BodyText"/>
            </w:pPr>
            <w:r w:rsidRPr="001F425A">
              <w:t>Superse</w:t>
            </w:r>
            <w:r w:rsidRPr="001F425A">
              <w:t>des HLTDT518D</w:t>
            </w:r>
          </w:p>
        </w:tc>
      </w:tr>
    </w:tbl>
    <w:p w:rsidR="00000000" w:rsidRPr="001F425A" w:rsidP="001F425A">
      <w:pPr>
        <w:pStyle w:val="BodyText"/>
      </w:pPr>
    </w:p>
    <w:p w:rsidR="00000000" w:rsidRPr="001F425A" w:rsidP="001F425A">
      <w:pPr>
        <w:pStyle w:val="AllowPageBreak"/>
      </w:pPr>
    </w:p>
    <w:p w:rsidR="00000000" w:rsidRPr="001F425A" w:rsidP="001F425A">
      <w:pPr>
        <w:pStyle w:val="Heading1"/>
      </w:pPr>
      <w:bookmarkStart w:id="8" w:name="O_820122"/>
      <w:bookmarkEnd w:id="8"/>
      <w:r w:rsidRPr="001F425A">
        <w:t>Performance Evidence</w:t>
      </w:r>
    </w:p>
    <w:p w:rsidR="00000000" w:rsidRPr="001F425A" w:rsidP="00B73B48">
      <w:pPr>
        <w:pStyle w:val="BodyText"/>
      </w:pPr>
      <w:r w:rsidRPr="001F425A">
        <w:t xml:space="preserve">The candidate must show evidence of the ability to complete tasks outlined in elements and performance criteria of this unit, manage tasks and manage contingencies in the context of the job role. There </w:t>
      </w:r>
      <w:r w:rsidRPr="001F425A">
        <w:t>must be evidence that the candidate has:</w:t>
      </w:r>
    </w:p>
    <w:p w:rsidR="00000000" w:rsidRPr="001F425A" w:rsidP="001F425A">
      <w:pPr>
        <w:pStyle w:val="List"/>
      </w:pPr>
      <w:r w:rsidRPr="001F425A">
        <w:t>•</w:t>
      </w:r>
      <w:r w:rsidRPr="001F425A">
        <w:tab/>
        <w:t>read and correctly interpreted 1 work order and manufacturers’ instructions for repair and modification of removable prostheses, and used standard precautions and safe work practices for constructing repairs and m</w:t>
      </w:r>
      <w:r w:rsidRPr="001F425A">
        <w:t>odification for a maxillary or mandibular denture with a combination of the following:</w:t>
      </w:r>
    </w:p>
    <w:p w:rsidR="00000000" w:rsidRPr="001F425A" w:rsidP="001F425A">
      <w:pPr>
        <w:pStyle w:val="List2"/>
      </w:pPr>
      <w:r>
        <w:t>•</w:t>
      </w:r>
      <w:r>
        <w:tab/>
      </w:r>
      <w:r w:rsidRPr="001F425A">
        <w:t>replace, add or modify new or existing artificial teeth</w:t>
      </w:r>
    </w:p>
    <w:p w:rsidR="00000000" w:rsidRPr="001F425A" w:rsidP="001F425A">
      <w:pPr>
        <w:pStyle w:val="List2"/>
      </w:pPr>
      <w:r>
        <w:t>•</w:t>
      </w:r>
      <w:r>
        <w:tab/>
      </w:r>
      <w:r w:rsidRPr="001F425A">
        <w:t>replace, add or modifying new or existing metallic components</w:t>
      </w:r>
    </w:p>
    <w:p w:rsidR="00000000" w:rsidRPr="001F425A" w:rsidP="001F425A">
      <w:pPr>
        <w:pStyle w:val="List2"/>
      </w:pPr>
      <w:r>
        <w:t>•</w:t>
      </w:r>
      <w:r>
        <w:tab/>
      </w:r>
      <w:r w:rsidRPr="001F425A">
        <w:t>modify the denture base</w:t>
      </w:r>
    </w:p>
    <w:p w:rsidR="00000000" w:rsidRPr="001F425A" w:rsidP="001F425A">
      <w:pPr>
        <w:pStyle w:val="List"/>
      </w:pPr>
      <w:r w:rsidRPr="001F425A">
        <w:t>•</w:t>
      </w:r>
      <w:r w:rsidRPr="001F425A">
        <w:tab/>
      </w:r>
      <w:r w:rsidRPr="001F425A">
        <w:t>critically evaluated the 1 repaired or modified denture produced to meet technical laboratory and patient requirements, including confirming that the repaired or modified denture:</w:t>
      </w:r>
    </w:p>
    <w:p w:rsidR="00000000" w:rsidRPr="001F425A" w:rsidP="001F425A">
      <w:pPr>
        <w:pStyle w:val="List2"/>
      </w:pPr>
      <w:r>
        <w:t>•</w:t>
      </w:r>
      <w:r>
        <w:tab/>
      </w:r>
      <w:r w:rsidRPr="001F425A">
        <w:t>is compliant with the work order</w:t>
      </w:r>
    </w:p>
    <w:p w:rsidR="00000000" w:rsidRPr="001F425A" w:rsidP="001F425A">
      <w:pPr>
        <w:pStyle w:val="List2"/>
      </w:pPr>
      <w:r>
        <w:t>•</w:t>
      </w:r>
      <w:r>
        <w:tab/>
      </w:r>
      <w:r w:rsidRPr="001F425A">
        <w:t xml:space="preserve">is free from defects </w:t>
      </w:r>
    </w:p>
    <w:p w:rsidR="00000000" w:rsidRPr="001F425A" w:rsidP="001F425A">
      <w:pPr>
        <w:pStyle w:val="List2"/>
      </w:pPr>
      <w:r>
        <w:t>•</w:t>
      </w:r>
      <w:r>
        <w:tab/>
      </w:r>
      <w:r w:rsidRPr="001F425A">
        <w:t>is functionally</w:t>
      </w:r>
      <w:r w:rsidRPr="001F425A">
        <w:t xml:space="preserve"> effective in line with the design</w:t>
      </w:r>
    </w:p>
    <w:p w:rsidR="00000000" w:rsidRPr="001F425A" w:rsidP="001F425A">
      <w:pPr>
        <w:pStyle w:val="List2"/>
      </w:pPr>
      <w:r>
        <w:t>•</w:t>
      </w:r>
      <w:r>
        <w:tab/>
      </w:r>
      <w:r w:rsidRPr="001F425A">
        <w:t>is suitable for insertion in the mouth.</w:t>
      </w:r>
    </w:p>
    <w:p w:rsidR="00000000" w:rsidRPr="001F425A" w:rsidP="001F425A">
      <w:pPr>
        <w:pStyle w:val="AllowPageBreak"/>
      </w:pPr>
    </w:p>
    <w:p w:rsidR="00000000" w:rsidRPr="001F425A" w:rsidP="001F425A">
      <w:pPr>
        <w:pStyle w:val="Heading1"/>
      </w:pPr>
      <w:bookmarkStart w:id="9" w:name="O_820123"/>
      <w:bookmarkEnd w:id="9"/>
      <w:r w:rsidRPr="001F425A">
        <w:t>Knowledge Evidence</w:t>
      </w:r>
    </w:p>
    <w:p w:rsidR="00000000" w:rsidRPr="001F425A" w:rsidP="00B73B48">
      <w:pPr>
        <w:pStyle w:val="BodyText"/>
      </w:pPr>
      <w:r w:rsidRPr="001F425A">
        <w:t>The candidate must demonstrate essential knowledge required to effectively complete tasks outlined in elements and performance criteria of this</w:t>
      </w:r>
      <w:r w:rsidRPr="001F425A">
        <w:t xml:space="preserve"> unit, manage tasks and manage contingencies in the context of the work role. This includes knowledge of: </w:t>
      </w:r>
    </w:p>
    <w:p w:rsidR="00000000" w:rsidRPr="001F425A" w:rsidP="001F425A">
      <w:pPr>
        <w:pStyle w:val="List"/>
      </w:pPr>
      <w:r w:rsidRPr="001F425A">
        <w:t>•</w:t>
      </w:r>
      <w:r w:rsidRPr="001F425A">
        <w:tab/>
        <w:t>Australian/New Zealand Standards, workplace health and safety (WHS) policies, Dental Board of Australia guidelines on infection control, Commonweal</w:t>
      </w:r>
      <w:r w:rsidRPr="001F425A">
        <w:t xml:space="preserve">th and State/Territory legislation and organisation policies relating to dental laboratory work </w:t>
      </w:r>
    </w:p>
    <w:p w:rsidR="00000000" w:rsidRPr="001F425A" w:rsidP="001F425A">
      <w:pPr>
        <w:pStyle w:val="List"/>
      </w:pPr>
      <w:r w:rsidRPr="001F425A">
        <w:t>•</w:t>
      </w:r>
      <w:r w:rsidRPr="001F425A">
        <w:tab/>
        <w:t>fundamental oral anatomy including:</w:t>
      </w:r>
    </w:p>
    <w:p w:rsidR="00000000" w:rsidRPr="001F425A" w:rsidP="001F425A">
      <w:pPr>
        <w:pStyle w:val="List2"/>
      </w:pPr>
      <w:r>
        <w:t>•</w:t>
      </w:r>
      <w:r>
        <w:tab/>
      </w:r>
      <w:r w:rsidRPr="001F425A">
        <w:t>dentition – arrangement of the teeth, naming and coding of teeth</w:t>
      </w:r>
    </w:p>
    <w:p w:rsidR="00000000" w:rsidRPr="001F425A" w:rsidP="001F425A">
      <w:pPr>
        <w:pStyle w:val="List2"/>
      </w:pPr>
      <w:r>
        <w:t>•</w:t>
      </w:r>
      <w:r>
        <w:tab/>
      </w:r>
      <w:r w:rsidRPr="001F425A">
        <w:t>structures of the oral cavity – hard and soft palate</w:t>
      </w:r>
      <w:r w:rsidRPr="001F425A">
        <w:t>, lateral and posterior borders of the oral cavity, tongue and floor of the mouth</w:t>
      </w:r>
    </w:p>
    <w:p w:rsidR="00000000" w:rsidRPr="001F425A" w:rsidP="001F425A">
      <w:pPr>
        <w:pStyle w:val="List2"/>
      </w:pPr>
      <w:r>
        <w:t>•</w:t>
      </w:r>
      <w:r>
        <w:tab/>
      </w:r>
      <w:r w:rsidRPr="001F425A">
        <w:t>teeth form and function</w:t>
      </w:r>
    </w:p>
    <w:p w:rsidR="00000000" w:rsidRPr="001F425A" w:rsidP="001F425A">
      <w:pPr>
        <w:pStyle w:val="List"/>
      </w:pPr>
      <w:r w:rsidRPr="001F425A">
        <w:t>•</w:t>
      </w:r>
      <w:r w:rsidRPr="001F425A">
        <w:tab/>
        <w:t>constructional faults that cause fractures of denture base including:</w:t>
      </w:r>
    </w:p>
    <w:p w:rsidR="00000000" w:rsidRPr="001F425A" w:rsidP="001F425A">
      <w:pPr>
        <w:pStyle w:val="List2"/>
      </w:pPr>
      <w:r>
        <w:t>•</w:t>
      </w:r>
      <w:r>
        <w:tab/>
      </w:r>
      <w:r w:rsidRPr="001F425A">
        <w:t>absence of balanced occlusion</w:t>
      </w:r>
    </w:p>
    <w:p w:rsidR="00000000" w:rsidRPr="001F425A" w:rsidP="001F425A">
      <w:pPr>
        <w:pStyle w:val="List2"/>
      </w:pPr>
      <w:r>
        <w:t>•</w:t>
      </w:r>
      <w:r>
        <w:tab/>
      </w:r>
      <w:r w:rsidRPr="001F425A">
        <w:t>inadequate polymerisation times and temper</w:t>
      </w:r>
      <w:r w:rsidRPr="001F425A">
        <w:t>atures</w:t>
      </w:r>
    </w:p>
    <w:p w:rsidR="00000000" w:rsidRPr="001F425A" w:rsidP="001F425A">
      <w:pPr>
        <w:pStyle w:val="List2"/>
      </w:pPr>
      <w:r>
        <w:t>•</w:t>
      </w:r>
      <w:r>
        <w:tab/>
      </w:r>
      <w:r w:rsidRPr="001F425A">
        <w:t>incorrect dough consistency when packing</w:t>
      </w:r>
    </w:p>
    <w:p w:rsidR="00000000" w:rsidRPr="001F425A" w:rsidP="001F425A">
      <w:pPr>
        <w:pStyle w:val="List2"/>
      </w:pPr>
      <w:r>
        <w:t>•</w:t>
      </w:r>
      <w:r>
        <w:tab/>
      </w:r>
      <w:r w:rsidRPr="001F425A">
        <w:t>incorrect positioning of maxillary posterior teeth</w:t>
      </w:r>
    </w:p>
    <w:p w:rsidR="00000000" w:rsidRPr="001F425A" w:rsidP="001F425A">
      <w:pPr>
        <w:pStyle w:val="List2"/>
      </w:pPr>
      <w:r>
        <w:t>•</w:t>
      </w:r>
      <w:r>
        <w:tab/>
      </w:r>
      <w:r w:rsidRPr="001F425A">
        <w:t xml:space="preserve">insufficient thickness of acrylic resin in the anterior palatal region of the denture </w:t>
      </w:r>
    </w:p>
    <w:p w:rsidR="00000000" w:rsidRPr="001F425A" w:rsidP="001F425A">
      <w:pPr>
        <w:pStyle w:val="List2"/>
      </w:pPr>
      <w:r>
        <w:t>•</w:t>
      </w:r>
      <w:r>
        <w:tab/>
      </w:r>
      <w:r w:rsidRPr="001F425A">
        <w:t>rapid cooling after processing</w:t>
      </w:r>
    </w:p>
    <w:p w:rsidR="00000000" w:rsidRPr="001F425A" w:rsidP="001F425A">
      <w:pPr>
        <w:pStyle w:val="List"/>
      </w:pPr>
      <w:r w:rsidRPr="001F425A">
        <w:t>•</w:t>
      </w:r>
      <w:r w:rsidRPr="001F425A">
        <w:tab/>
        <w:t>constructional faults that ca</w:t>
      </w:r>
      <w:r w:rsidRPr="001F425A">
        <w:t>use broken teeth</w:t>
      </w:r>
    </w:p>
    <w:p w:rsidR="00000000" w:rsidRPr="001F425A" w:rsidP="001F425A">
      <w:pPr>
        <w:pStyle w:val="List"/>
      </w:pPr>
      <w:r w:rsidRPr="001F425A">
        <w:t>•</w:t>
      </w:r>
      <w:r w:rsidRPr="001F425A">
        <w:tab/>
        <w:t>denture base materials</w:t>
      </w:r>
    </w:p>
    <w:p w:rsidR="00000000" w:rsidRPr="001F425A" w:rsidP="001F425A">
      <w:pPr>
        <w:pStyle w:val="List"/>
      </w:pPr>
      <w:r w:rsidRPr="001F425A">
        <w:t>•</w:t>
      </w:r>
      <w:r w:rsidRPr="001F425A">
        <w:tab/>
        <w:t xml:space="preserve">denture decontamination procedures when modifying acrylic </w:t>
      </w:r>
    </w:p>
    <w:p w:rsidR="00000000" w:rsidRPr="001F425A" w:rsidP="001F425A">
      <w:pPr>
        <w:pStyle w:val="List"/>
      </w:pPr>
      <w:r w:rsidRPr="001F425A">
        <w:t>•</w:t>
      </w:r>
      <w:r w:rsidRPr="001F425A">
        <w:tab/>
        <w:t>methods for modifying, repairing and maintaining removable prostheses.</w:t>
      </w:r>
    </w:p>
    <w:p w:rsidR="00000000" w:rsidRPr="001F425A" w:rsidP="001F425A">
      <w:pPr>
        <w:pStyle w:val="AllowPageBreak"/>
      </w:pPr>
    </w:p>
    <w:p w:rsidR="00000000" w:rsidRPr="001F425A" w:rsidP="001F425A">
      <w:pPr>
        <w:pStyle w:val="Heading1"/>
      </w:pPr>
      <w:bookmarkStart w:id="10" w:name="O_820124"/>
      <w:bookmarkEnd w:id="10"/>
      <w:r w:rsidRPr="001F425A">
        <w:t>Assessment Conditions</w:t>
      </w:r>
    </w:p>
    <w:p w:rsidR="00000000" w:rsidRPr="001F425A" w:rsidP="00B73B48">
      <w:pPr>
        <w:pStyle w:val="BodyText"/>
      </w:pPr>
      <w:r w:rsidRPr="001F425A">
        <w:t xml:space="preserve">Skills must have been demonstrated in a dental laboratory workplace or in a simulated dental laboratory environment that reflects workplace laboratory conditions. The following conditions must be met for this unit: </w:t>
      </w:r>
    </w:p>
    <w:p w:rsidR="00000000" w:rsidRPr="001F425A" w:rsidP="001F425A">
      <w:pPr>
        <w:pStyle w:val="List"/>
      </w:pPr>
      <w:r w:rsidRPr="001F425A">
        <w:t>•</w:t>
      </w:r>
      <w:r w:rsidRPr="001F425A">
        <w:tab/>
        <w:t xml:space="preserve">use of suitable facilities, equipment </w:t>
      </w:r>
      <w:r w:rsidRPr="001F425A">
        <w:t>and resources including:</w:t>
      </w:r>
    </w:p>
    <w:p w:rsidR="00000000" w:rsidRPr="001F425A" w:rsidP="001F425A">
      <w:pPr>
        <w:pStyle w:val="List2"/>
      </w:pPr>
      <w:r>
        <w:t>•</w:t>
      </w:r>
      <w:r>
        <w:tab/>
      </w:r>
      <w:r w:rsidRPr="001F425A">
        <w:t xml:space="preserve">access to work order </w:t>
      </w:r>
    </w:p>
    <w:p w:rsidR="00000000" w:rsidRPr="001F425A" w:rsidP="001F425A">
      <w:pPr>
        <w:pStyle w:val="List2"/>
      </w:pPr>
      <w:r>
        <w:t>•</w:t>
      </w:r>
      <w:r>
        <w:tab/>
      </w:r>
      <w:r w:rsidRPr="001F425A">
        <w:t>Dental Board of Australia guidelines on infection control on which the candidate bases the planning process</w:t>
      </w:r>
    </w:p>
    <w:p w:rsidR="00000000" w:rsidRPr="001F425A" w:rsidP="001F425A">
      <w:pPr>
        <w:pStyle w:val="List2"/>
      </w:pPr>
      <w:r>
        <w:t>•</w:t>
      </w:r>
      <w:r>
        <w:tab/>
      </w:r>
      <w:r w:rsidRPr="001F425A">
        <w:t xml:space="preserve">laboratory safety manuals and standard operating procedures in line with relevant Commonwealth </w:t>
      </w:r>
      <w:r w:rsidRPr="001F425A">
        <w:t xml:space="preserve">and State/Territory legislation </w:t>
      </w:r>
    </w:p>
    <w:p w:rsidR="00000000" w:rsidRPr="001F425A" w:rsidP="001F425A">
      <w:pPr>
        <w:pStyle w:val="List2"/>
      </w:pPr>
      <w:r>
        <w:t>•</w:t>
      </w:r>
      <w:r>
        <w:tab/>
      </w:r>
      <w:r w:rsidRPr="001F425A">
        <w:t>WHS policies on which the candidate bases the planning process.</w:t>
      </w:r>
    </w:p>
    <w:p w:rsidR="00000000" w:rsidRPr="001F425A" w:rsidP="001F425A">
      <w:pPr>
        <w:pStyle w:val="BodyText"/>
      </w:pPr>
    </w:p>
    <w:p w:rsidR="00B73B48" w:rsidP="00B73B48">
      <w:pPr>
        <w:pStyle w:val="BodyText"/>
      </w:pPr>
      <w:r w:rsidRPr="001F425A">
        <w:t>Assessors must satisfy the Standards for Registered Training Organisations (RTOs) 2015/AQTF mandatory competency requirements for assessors.</w:t>
      </w:r>
    </w:p>
    <w:p w:rsidR="00000000" w:rsidRPr="001F425A" w:rsidP="001F425A">
      <w:pPr>
        <w:pStyle w:val="Heading1"/>
      </w:pPr>
      <w:bookmarkStart w:id="11" w:name="O_820127"/>
      <w:bookmarkEnd w:id="11"/>
      <w:r w:rsidRPr="001F425A">
        <w:t>Links</w:t>
      </w:r>
    </w:p>
    <w:p w:rsidR="00000000" w:rsidRPr="001F425A" w:rsidP="00B73B48">
      <w:pPr>
        <w:pStyle w:val="BodyText"/>
      </w:pPr>
      <w:r w:rsidRPr="001F42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322B2">
        <w:rPr>
          <w:rStyle w:val="Hyperlink"/>
        </w:rPr>
        <w:t>https://vetnet.gov.au/Pages/TrainingDocs.aspx?q=ced1390f-48d9-4ab0-bd50-b015e5485705</w:t>
      </w:r>
      <w:r>
        <w:fldChar w:fldCharType="end"/>
      </w:r>
    </w:p>
    <w:p w:rsidR="00000000" w:rsidRPr="001F425A" w:rsidP="001F425A"/>
    <w:sectPr w:rsidSect="001F42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5A" w:rsidRPr="00B73B48" w:rsidP="00B73B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48" w:rsidP="001F4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B48" w:rsidP="001F42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73B48" w:rsidP="001F42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5A" w:rsidP="001F425A">
    <w:pPr>
      <w:pStyle w:val="Footer"/>
      <w:framePr w:wrap="around"/>
    </w:pPr>
    <w:r>
      <w:fldChar w:fldCharType="begin"/>
    </w:r>
    <w:r>
      <w:instrText xml:space="preserve"> DOCPROPERTY  Subject  \* MERGEFORMAT </w:instrText>
    </w:r>
    <w:r>
      <w:fldChar w:fldCharType="separate"/>
    </w:r>
    <w:r w:rsidR="00B73B48">
      <w:t>Approved</w:t>
    </w:r>
    <w:r w:rsidR="00B73B48">
      <w:fldChar w:fldCharType="end"/>
    </w:r>
    <w:r>
      <w:tab/>
      <w:t xml:space="preserve">Page </w:t>
    </w:r>
    <w:r>
      <w:fldChar w:fldCharType="begin"/>
    </w:r>
    <w:r>
      <w:instrText xml:space="preserve"> PAGE  \* Arabic  \* MERGEFORMAT </w:instrText>
    </w:r>
    <w:r>
      <w:fldChar w:fldCharType="separate"/>
    </w:r>
    <w:r w:rsidR="00B73B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3B48">
      <w:rPr>
        <w:noProof/>
      </w:rPr>
      <w:t>4</w:t>
    </w:r>
    <w:r>
      <w:rPr>
        <w:noProof/>
      </w:rPr>
      <w:fldChar w:fldCharType="end"/>
    </w:r>
  </w:p>
  <w:p w:rsidR="001F425A" w:rsidP="001F425A">
    <w:pPr>
      <w:pStyle w:val="Footer"/>
      <w:framePr w:wrap="around"/>
    </w:pPr>
    <w:r>
      <w:t xml:space="preserve">© Commonwealth of Australia, </w:t>
    </w:r>
    <w:r>
      <w:fldChar w:fldCharType="begin"/>
    </w:r>
    <w:r>
      <w:instrText xml:space="preserve"> DATE  \@ "yyyy"  \* MERGEFORMAT </w:instrText>
    </w:r>
    <w:r>
      <w:fldChar w:fldCharType="separate"/>
    </w:r>
    <w:r w:rsidR="00B73B48">
      <w:rPr>
        <w:noProof/>
      </w:rPr>
      <w:t>2025</w:t>
    </w:r>
    <w:r>
      <w:fldChar w:fldCharType="end"/>
    </w:r>
    <w:r>
      <w:tab/>
    </w:r>
    <w:r>
      <w:fldChar w:fldCharType="begin"/>
    </w:r>
    <w:r>
      <w:instrText xml:space="preserve"> DOCPROPERTY  Author  \* MERGEFORMAT </w:instrText>
    </w:r>
    <w:r>
      <w:fldChar w:fldCharType="separate"/>
    </w:r>
    <w:r w:rsidR="00B73B48">
      <w:t>HumanAbility</w:t>
    </w:r>
    <w:r w:rsidR="00B73B48">
      <w:fldChar w:fldCharType="end"/>
    </w:r>
  </w:p>
  <w:p w:rsidR="001F425A" w:rsidP="001F4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25A" w:rsidRPr="00B73B48" w:rsidP="00B73B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48" w:rsidRPr="002D2AF8" w:rsidP="001F425A">
    <w:pPr>
      <w:pStyle w:val="Header"/>
      <w:framePr w:wrap="around"/>
    </w:pPr>
    <w:r>
      <w:fldChar w:fldCharType="begin"/>
    </w:r>
    <w:r>
      <w:instrText xml:space="preserve"> TITLE   \* MERGEFORMAT </w:instrText>
    </w:r>
    <w:r>
      <w:fldChar w:fldCharType="separate"/>
    </w:r>
    <w:r>
      <w:t>HLTDET014 Repair and modify dentures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3B48" w:rsidP="001F42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5A" w:rsidRPr="002D2AF8" w:rsidP="001F425A">
    <w:pPr>
      <w:pStyle w:val="Header"/>
      <w:framePr w:wrap="around"/>
    </w:pPr>
    <w:r>
      <w:fldChar w:fldCharType="begin"/>
    </w:r>
    <w:r>
      <w:instrText xml:space="preserve"> TITLE   \* MERGEFORMAT </w:instrText>
    </w:r>
    <w:r>
      <w:fldChar w:fldCharType="separate"/>
    </w:r>
    <w:r w:rsidR="00B73B48">
      <w:t>HLTDET014 Repair and modify dentures and appliances</w:t>
    </w:r>
    <w:r w:rsidR="00B73B48">
      <w:fldChar w:fldCharType="end"/>
    </w:r>
    <w:r>
      <w:tab/>
      <w:t xml:space="preserve">Date this document was generated: </w:t>
    </w:r>
    <w:r>
      <w:fldChar w:fldCharType="begin"/>
    </w:r>
    <w:r>
      <w:instrText xml:space="preserve"> CREATEDATE  \@ "d MMMM yyyy"  \* MERGEFORMAT </w:instrText>
    </w:r>
    <w:r>
      <w:fldChar w:fldCharType="separate"/>
    </w:r>
    <w:r w:rsidR="00B73B48">
      <w:rPr>
        <w:noProof/>
      </w:rPr>
      <w:t>1 March 2025</w:t>
    </w:r>
    <w:r>
      <w:fldChar w:fldCharType="end"/>
    </w:r>
  </w:p>
  <w:p w:rsidR="001F425A" w:rsidP="001F4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25A"/>
    <w:pPr>
      <w:spacing w:before="360" w:after="60"/>
      <w:outlineLvl w:val="0"/>
    </w:pPr>
    <w:rPr>
      <w:sz w:val="32"/>
    </w:rPr>
  </w:style>
  <w:style w:type="paragraph" w:styleId="Heading2">
    <w:name w:val="heading 2"/>
    <w:basedOn w:val="HeadingBase"/>
    <w:next w:val="BodyText"/>
    <w:link w:val="Heading2Char"/>
    <w:qFormat/>
    <w:rsid w:val="001F425A"/>
    <w:pPr>
      <w:keepLines/>
      <w:spacing w:before="240" w:after="120"/>
      <w:outlineLvl w:val="1"/>
    </w:pPr>
    <w:rPr>
      <w:sz w:val="28"/>
      <w:szCs w:val="40"/>
    </w:rPr>
  </w:style>
  <w:style w:type="paragraph" w:styleId="Heading3">
    <w:name w:val="heading 3"/>
    <w:basedOn w:val="HeadingBase"/>
    <w:next w:val="BodyText"/>
    <w:link w:val="Heading3Char"/>
    <w:qFormat/>
    <w:rsid w:val="001F425A"/>
    <w:pPr>
      <w:spacing w:before="180" w:after="120"/>
      <w:outlineLvl w:val="2"/>
    </w:pPr>
    <w:rPr>
      <w:spacing w:val="-10"/>
      <w:kern w:val="32"/>
    </w:rPr>
  </w:style>
  <w:style w:type="paragraph" w:styleId="Heading4">
    <w:name w:val="heading 4"/>
    <w:basedOn w:val="HeadingBase"/>
    <w:next w:val="BodyText"/>
    <w:link w:val="Heading4Char"/>
    <w:qFormat/>
    <w:rsid w:val="001F425A"/>
    <w:pPr>
      <w:spacing w:before="160" w:after="120"/>
      <w:outlineLvl w:val="3"/>
    </w:pPr>
    <w:rPr>
      <w:sz w:val="22"/>
    </w:rPr>
  </w:style>
  <w:style w:type="paragraph" w:styleId="Heading5">
    <w:name w:val="heading 5"/>
    <w:basedOn w:val="HeadingBase"/>
    <w:next w:val="Normal"/>
    <w:link w:val="Heading5Char"/>
    <w:qFormat/>
    <w:rsid w:val="001F425A"/>
    <w:pPr>
      <w:spacing w:before="80"/>
      <w:outlineLvl w:val="4"/>
    </w:pPr>
    <w:rPr>
      <w:color w:val="918585"/>
      <w:sz w:val="20"/>
    </w:rPr>
  </w:style>
  <w:style w:type="paragraph" w:styleId="Heading6">
    <w:name w:val="heading 6"/>
    <w:basedOn w:val="HeadingBase"/>
    <w:next w:val="Normal"/>
    <w:link w:val="Heading6Char"/>
    <w:qFormat/>
    <w:rsid w:val="001F425A"/>
    <w:pPr>
      <w:spacing w:before="60"/>
      <w:outlineLvl w:val="5"/>
    </w:pPr>
    <w:rPr>
      <w:color w:val="918585"/>
      <w:sz w:val="20"/>
    </w:rPr>
  </w:style>
  <w:style w:type="paragraph" w:styleId="Heading7">
    <w:name w:val="heading 7"/>
    <w:basedOn w:val="Normal"/>
    <w:next w:val="Normal"/>
    <w:link w:val="Heading7Char"/>
    <w:qFormat/>
    <w:rsid w:val="001F425A"/>
    <w:pPr>
      <w:ind w:left="720"/>
      <w:outlineLvl w:val="6"/>
    </w:pPr>
    <w:rPr>
      <w:i/>
    </w:rPr>
  </w:style>
  <w:style w:type="paragraph" w:styleId="Heading8">
    <w:name w:val="heading 8"/>
    <w:basedOn w:val="Normal"/>
    <w:next w:val="Normal"/>
    <w:link w:val="Heading8Char"/>
    <w:qFormat/>
    <w:rsid w:val="001F425A"/>
    <w:pPr>
      <w:ind w:left="720"/>
      <w:outlineLvl w:val="7"/>
    </w:pPr>
    <w:rPr>
      <w:i/>
    </w:rPr>
  </w:style>
  <w:style w:type="paragraph" w:styleId="Heading9">
    <w:name w:val="heading 9"/>
    <w:basedOn w:val="Normal"/>
    <w:next w:val="Normal"/>
    <w:link w:val="Heading9Char"/>
    <w:qFormat/>
    <w:rsid w:val="001F425A"/>
    <w:pPr>
      <w:ind w:left="720"/>
      <w:outlineLvl w:val="8"/>
    </w:pPr>
    <w:rPr>
      <w:i/>
    </w:rPr>
  </w:style>
  <w:style w:type="character" w:default="1" w:styleId="DefaultParagraphFont">
    <w:name w:val="Default Paragraph Font"/>
    <w:uiPriority w:val="1"/>
    <w:unhideWhenUsed/>
    <w:rsid w:val="001F4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25A"/>
  </w:style>
  <w:style w:type="character" w:customStyle="1" w:styleId="Heading1Char">
    <w:name w:val="Heading 1 Char"/>
    <w:basedOn w:val="DefaultParagraphFont"/>
    <w:link w:val="Heading1"/>
    <w:rsid w:val="001F425A"/>
    <w:rPr>
      <w:rFonts w:ascii="Times New Roman" w:eastAsia="Times New Roman" w:hAnsi="Times New Roman" w:cs="Times New Roman"/>
      <w:b/>
      <w:sz w:val="32"/>
      <w:szCs w:val="20"/>
      <w:lang w:eastAsia="en-US"/>
    </w:rPr>
  </w:style>
  <w:style w:type="paragraph" w:styleId="BodyText">
    <w:name w:val="Body Text"/>
    <w:basedOn w:val="Normal"/>
    <w:link w:val="BodyTextChar"/>
    <w:rsid w:val="001F42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25A"/>
    <w:rPr>
      <w:rFonts w:ascii="Times New Roman" w:eastAsia="Times New Roman" w:hAnsi="Times New Roman" w:cs="Times New Roman"/>
      <w:sz w:val="24"/>
      <w:lang w:eastAsia="en-US"/>
    </w:rPr>
  </w:style>
  <w:style w:type="paragraph" w:styleId="List">
    <w:name w:val="List"/>
    <w:basedOn w:val="BodyText"/>
    <w:next w:val="BodyText"/>
    <w:rsid w:val="001F425A"/>
    <w:pPr>
      <w:tabs>
        <w:tab w:val="left" w:pos="340"/>
      </w:tabs>
      <w:spacing w:before="60" w:after="60"/>
      <w:ind w:left="340" w:hanging="340"/>
    </w:pPr>
  </w:style>
  <w:style w:type="character" w:customStyle="1" w:styleId="SpecialBold">
    <w:name w:val="Special Bold"/>
    <w:basedOn w:val="DefaultParagraphFont"/>
    <w:rsid w:val="001F425A"/>
    <w:rPr>
      <w:b/>
      <w:spacing w:val="0"/>
    </w:rPr>
  </w:style>
  <w:style w:type="character" w:styleId="Emphasis">
    <w:name w:val="Emphasis"/>
    <w:basedOn w:val="DefaultParagraphFont"/>
    <w:qFormat/>
    <w:rsid w:val="001F425A"/>
    <w:rPr>
      <w:i/>
    </w:rPr>
  </w:style>
  <w:style w:type="paragraph" w:customStyle="1" w:styleId="SuperHeading">
    <w:name w:val="SuperHeading"/>
    <w:basedOn w:val="Normal"/>
    <w:rsid w:val="001F425A"/>
    <w:pPr>
      <w:spacing w:before="240" w:after="120"/>
      <w:outlineLvl w:val="0"/>
    </w:pPr>
    <w:rPr>
      <w:rFonts w:ascii="Times New Roman" w:hAnsi="Times New Roman"/>
      <w:b/>
      <w:sz w:val="32"/>
    </w:rPr>
  </w:style>
  <w:style w:type="paragraph" w:customStyle="1" w:styleId="AllowPageBreak">
    <w:name w:val="AllowPageBreak"/>
    <w:rsid w:val="001F42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425A"/>
    <w:pPr>
      <w:tabs>
        <w:tab w:val="left" w:pos="680"/>
      </w:tabs>
      <w:spacing w:before="60" w:after="60"/>
      <w:ind w:left="680" w:hanging="340"/>
    </w:pPr>
  </w:style>
  <w:style w:type="character" w:customStyle="1" w:styleId="Heading2Char">
    <w:name w:val="Heading 2 Char"/>
    <w:basedOn w:val="DefaultParagraphFont"/>
    <w:link w:val="Heading2"/>
    <w:rsid w:val="001F4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25A"/>
    <w:rPr>
      <w:rFonts w:ascii="Courier New" w:eastAsia="Times New Roman" w:hAnsi="Courier New" w:cs="Times New Roman"/>
      <w:i/>
      <w:szCs w:val="20"/>
      <w:lang w:eastAsia="en-US"/>
    </w:rPr>
  </w:style>
  <w:style w:type="paragraph" w:customStyle="1" w:styleId="HeadingBase">
    <w:name w:val="Heading Base"/>
    <w:rsid w:val="001F4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25A"/>
    <w:pPr>
      <w:tabs>
        <w:tab w:val="right" w:leader="dot" w:pos="9072"/>
      </w:tabs>
      <w:ind w:left="567"/>
    </w:pPr>
    <w:rPr>
      <w:szCs w:val="22"/>
    </w:rPr>
  </w:style>
  <w:style w:type="paragraph" w:customStyle="1" w:styleId="TOCBase">
    <w:name w:val="TOC Base"/>
    <w:rsid w:val="001F4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25A"/>
    <w:pPr>
      <w:tabs>
        <w:tab w:val="right" w:leader="dot" w:pos="9072"/>
      </w:tabs>
      <w:spacing w:before="40" w:after="40"/>
      <w:ind w:left="284"/>
    </w:pPr>
    <w:rPr>
      <w:rFonts w:ascii="Times New Roman" w:hAnsi="Times New Roman"/>
    </w:rPr>
  </w:style>
  <w:style w:type="paragraph" w:styleId="TOC1">
    <w:name w:val="toc 1"/>
    <w:basedOn w:val="TOCBase"/>
    <w:next w:val="Normal"/>
    <w:rsid w:val="001F4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25A"/>
    <w:rPr>
      <w:rFonts w:ascii="Times New Roman" w:eastAsia="Times New Roman" w:hAnsi="Times New Roman" w:cs="Times New Roman"/>
      <w:sz w:val="16"/>
      <w:lang w:eastAsia="en-US"/>
    </w:rPr>
  </w:style>
  <w:style w:type="paragraph" w:styleId="Title">
    <w:name w:val="Title"/>
    <w:basedOn w:val="HeadingBase"/>
    <w:link w:val="TitleChar"/>
    <w:qFormat/>
    <w:rsid w:val="001F425A"/>
    <w:pPr>
      <w:spacing w:before="5040"/>
      <w:jc w:val="center"/>
    </w:pPr>
    <w:rPr>
      <w:sz w:val="48"/>
      <w:szCs w:val="72"/>
      <w:lang w:val="en-US"/>
    </w:rPr>
  </w:style>
  <w:style w:type="character" w:customStyle="1" w:styleId="TitleChar">
    <w:name w:val="Title Char"/>
    <w:basedOn w:val="DefaultParagraphFont"/>
    <w:link w:val="Title"/>
    <w:rsid w:val="001F4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25A"/>
    <w:pPr>
      <w:tabs>
        <w:tab w:val="left" w:pos="3600"/>
        <w:tab w:val="left" w:pos="3958"/>
      </w:tabs>
    </w:pPr>
  </w:style>
  <w:style w:type="paragraph" w:styleId="ListBullet">
    <w:name w:val="List Bullet"/>
    <w:basedOn w:val="List"/>
    <w:rsid w:val="001F425A"/>
    <w:pPr>
      <w:numPr>
        <w:numId w:val="10"/>
      </w:numPr>
      <w:tabs>
        <w:tab w:val="clear" w:pos="340"/>
      </w:tabs>
      <w:spacing w:before="40" w:after="40"/>
    </w:pPr>
  </w:style>
  <w:style w:type="paragraph" w:customStyle="1" w:styleId="Note">
    <w:name w:val="Note"/>
    <w:basedOn w:val="BodyText"/>
    <w:rsid w:val="001F4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25A"/>
    <w:pPr>
      <w:framePr w:wrap="auto" w:hAnchor="text" w:y="6049"/>
    </w:pPr>
    <w:rPr>
      <w:color w:val="000000"/>
      <w:sz w:val="40"/>
    </w:rPr>
  </w:style>
  <w:style w:type="paragraph" w:customStyle="1" w:styleId="TOCTitle">
    <w:name w:val="TOCTitle"/>
    <w:basedOn w:val="Heading1"/>
    <w:rsid w:val="001F425A"/>
    <w:pPr>
      <w:spacing w:after="240"/>
      <w:jc w:val="center"/>
      <w:outlineLvl w:val="9"/>
    </w:pPr>
    <w:rPr>
      <w:caps/>
    </w:rPr>
  </w:style>
  <w:style w:type="paragraph" w:customStyle="1" w:styleId="Version">
    <w:name w:val="Version"/>
    <w:rsid w:val="001F42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25A"/>
    <w:pPr>
      <w:numPr>
        <w:numId w:val="11"/>
      </w:numPr>
      <w:tabs>
        <w:tab w:val="clear" w:pos="680"/>
      </w:tabs>
    </w:pPr>
  </w:style>
  <w:style w:type="paragraph" w:styleId="Index1">
    <w:name w:val="index 1"/>
    <w:basedOn w:val="Normal"/>
    <w:next w:val="Normal"/>
    <w:semiHidden/>
    <w:rsid w:val="001F425A"/>
    <w:pPr>
      <w:keepNext w:val="0"/>
      <w:tabs>
        <w:tab w:val="right" w:pos="4176"/>
      </w:tabs>
      <w:ind w:left="198" w:hanging="198"/>
    </w:pPr>
    <w:rPr>
      <w:rFonts w:ascii="Garamond" w:hAnsi="Garamond"/>
    </w:rPr>
  </w:style>
  <w:style w:type="paragraph" w:styleId="IndexHeading">
    <w:name w:val="index heading"/>
    <w:basedOn w:val="Normal"/>
    <w:next w:val="Index1"/>
    <w:semiHidden/>
    <w:rsid w:val="001F425A"/>
    <w:pPr>
      <w:spacing w:before="120" w:after="120"/>
    </w:pPr>
    <w:rPr>
      <w:rFonts w:ascii="Arial" w:hAnsi="Arial"/>
      <w:b/>
      <w:color w:val="918585"/>
      <w:sz w:val="24"/>
    </w:rPr>
  </w:style>
  <w:style w:type="paragraph" w:styleId="Header">
    <w:name w:val="header"/>
    <w:basedOn w:val="Normal"/>
    <w:link w:val="HeaderChar"/>
    <w:rsid w:val="001F4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25A"/>
    <w:rPr>
      <w:rFonts w:ascii="Times New Roman" w:eastAsia="Times New Roman" w:hAnsi="Times New Roman" w:cs="Times New Roman"/>
      <w:sz w:val="16"/>
      <w:szCs w:val="20"/>
      <w:lang w:val="en-GB" w:eastAsia="en-US"/>
    </w:rPr>
  </w:style>
  <w:style w:type="paragraph" w:customStyle="1" w:styleId="Chapter">
    <w:name w:val="Chapter"/>
    <w:basedOn w:val="Normal"/>
    <w:rsid w:val="001F425A"/>
    <w:pPr>
      <w:spacing w:before="240"/>
    </w:pPr>
    <w:rPr>
      <w:rFonts w:ascii="Times New Roman" w:hAnsi="Times New Roman"/>
      <w:smallCaps/>
      <w:spacing w:val="80"/>
      <w:sz w:val="28"/>
    </w:rPr>
  </w:style>
  <w:style w:type="paragraph" w:customStyle="1" w:styleId="InChapter">
    <w:name w:val="InChapter"/>
    <w:basedOn w:val="Heading3"/>
    <w:rsid w:val="001F425A"/>
    <w:pPr>
      <w:spacing w:after="240"/>
      <w:outlineLvl w:val="9"/>
    </w:pPr>
    <w:rPr>
      <w:noProof/>
    </w:rPr>
  </w:style>
  <w:style w:type="paragraph" w:styleId="Index2">
    <w:name w:val="index 2"/>
    <w:basedOn w:val="Normal"/>
    <w:next w:val="Normal"/>
    <w:semiHidden/>
    <w:rsid w:val="001F425A"/>
    <w:pPr>
      <w:tabs>
        <w:tab w:val="right" w:pos="4176"/>
      </w:tabs>
      <w:ind w:left="568" w:hanging="284"/>
    </w:pPr>
    <w:rPr>
      <w:rFonts w:ascii="Garamond" w:hAnsi="Garamond"/>
    </w:rPr>
  </w:style>
  <w:style w:type="paragraph" w:customStyle="1" w:styleId="Byline">
    <w:name w:val="Byline"/>
    <w:rsid w:val="001F4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25A"/>
    <w:pPr>
      <w:tabs>
        <w:tab w:val="clear" w:pos="3600"/>
        <w:tab w:val="clear" w:pos="3958"/>
      </w:tabs>
      <w:jc w:val="right"/>
    </w:pPr>
  </w:style>
  <w:style w:type="paragraph" w:styleId="Caption">
    <w:name w:val="caption"/>
    <w:basedOn w:val="BodyText"/>
    <w:next w:val="Normal"/>
    <w:qFormat/>
    <w:rsid w:val="001F425A"/>
    <w:pPr>
      <w:framePr w:w="2268" w:hSpace="181" w:vSpace="181" w:wrap="around" w:vAnchor="text" w:hAnchor="page" w:x="1135" w:y="285" w:anchorLock="1"/>
    </w:pPr>
    <w:rPr>
      <w:i/>
    </w:rPr>
  </w:style>
  <w:style w:type="paragraph" w:customStyle="1" w:styleId="MiniTOCTitle">
    <w:name w:val="MiniTOCTitle"/>
    <w:basedOn w:val="Heading4"/>
    <w:rsid w:val="001F425A"/>
    <w:pPr>
      <w:spacing w:before="240"/>
      <w:outlineLvl w:val="9"/>
    </w:pPr>
    <w:rPr>
      <w:noProof/>
      <w:sz w:val="24"/>
    </w:rPr>
  </w:style>
  <w:style w:type="paragraph" w:customStyle="1" w:styleId="MiniTOCItem">
    <w:name w:val="MiniTOCItem"/>
    <w:basedOn w:val="ListBullet"/>
    <w:rsid w:val="001F425A"/>
    <w:pPr>
      <w:numPr>
        <w:numId w:val="0"/>
      </w:numPr>
      <w:tabs>
        <w:tab w:val="right" w:leader="dot" w:pos="6521"/>
      </w:tabs>
      <w:spacing w:before="0" w:after="0"/>
    </w:pPr>
  </w:style>
  <w:style w:type="paragraph" w:customStyle="1" w:styleId="TOFTitle">
    <w:name w:val="TOFTitle"/>
    <w:basedOn w:val="TOCTitle"/>
    <w:rsid w:val="001F425A"/>
  </w:style>
  <w:style w:type="paragraph" w:styleId="TableofFigures">
    <w:name w:val="table of figures"/>
    <w:basedOn w:val="Normal"/>
    <w:next w:val="Normal"/>
    <w:semiHidden/>
    <w:rsid w:val="001F425A"/>
    <w:pPr>
      <w:tabs>
        <w:tab w:val="right" w:leader="dot" w:pos="9072"/>
      </w:tabs>
      <w:ind w:left="970" w:hanging="403"/>
    </w:pPr>
    <w:rPr>
      <w:rFonts w:ascii="Times New Roman" w:hAnsi="Times New Roman"/>
      <w:b/>
    </w:rPr>
  </w:style>
  <w:style w:type="paragraph" w:styleId="ListNumber">
    <w:name w:val="List Number"/>
    <w:basedOn w:val="List"/>
    <w:rsid w:val="001F425A"/>
    <w:pPr>
      <w:numPr>
        <w:numId w:val="13"/>
      </w:numPr>
      <w:tabs>
        <w:tab w:val="clear" w:pos="340"/>
      </w:tabs>
    </w:pPr>
  </w:style>
  <w:style w:type="character" w:customStyle="1" w:styleId="WingdingSymbols">
    <w:name w:val="Wingding Symbols"/>
    <w:rsid w:val="001F425A"/>
    <w:rPr>
      <w:rFonts w:ascii="Wingdings" w:hAnsi="Wingdings"/>
    </w:rPr>
  </w:style>
  <w:style w:type="paragraph" w:customStyle="1" w:styleId="TableHeading">
    <w:name w:val="Table Heading"/>
    <w:basedOn w:val="HeadingBase"/>
    <w:rsid w:val="001F425A"/>
    <w:pPr>
      <w:keepLines/>
      <w:pBdr>
        <w:bottom w:val="single" w:sz="6" w:space="1" w:color="918585"/>
      </w:pBdr>
      <w:spacing w:before="240"/>
    </w:pPr>
  </w:style>
  <w:style w:type="character" w:customStyle="1" w:styleId="HotSpot">
    <w:name w:val="HotSpot"/>
    <w:rsid w:val="001F425A"/>
    <w:rPr>
      <w:color w:val="0033CC"/>
      <w:u w:val="none"/>
    </w:rPr>
  </w:style>
  <w:style w:type="paragraph" w:customStyle="1" w:styleId="BodyTextRight">
    <w:name w:val="Body Text Right"/>
    <w:basedOn w:val="BodyText"/>
    <w:rsid w:val="001F425A"/>
    <w:pPr>
      <w:spacing w:before="0" w:after="0"/>
      <w:jc w:val="right"/>
    </w:pPr>
  </w:style>
  <w:style w:type="paragraph" w:styleId="Index3">
    <w:name w:val="index 3"/>
    <w:basedOn w:val="ListNumber2"/>
    <w:next w:val="Normal"/>
    <w:semiHidden/>
    <w:rsid w:val="001F425A"/>
    <w:pPr>
      <w:numPr>
        <w:numId w:val="0"/>
      </w:numPr>
      <w:tabs>
        <w:tab w:val="right" w:leader="dot" w:pos="4176"/>
      </w:tabs>
    </w:pPr>
  </w:style>
  <w:style w:type="paragraph" w:styleId="ListNumber2">
    <w:name w:val="List Number 2"/>
    <w:basedOn w:val="List2"/>
    <w:rsid w:val="001F425A"/>
    <w:pPr>
      <w:numPr>
        <w:numId w:val="8"/>
      </w:numPr>
      <w:tabs>
        <w:tab w:val="clear" w:pos="1060"/>
      </w:tabs>
    </w:pPr>
  </w:style>
  <w:style w:type="paragraph" w:customStyle="1" w:styleId="MarginNote">
    <w:name w:val="Margin Note"/>
    <w:basedOn w:val="BodyText"/>
    <w:rsid w:val="001F4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25A"/>
    <w:rPr>
      <w:sz w:val="32"/>
    </w:rPr>
  </w:style>
  <w:style w:type="paragraph" w:customStyle="1" w:styleId="HeadingProcedure">
    <w:name w:val="Heading Procedure"/>
    <w:basedOn w:val="HeadingBase"/>
    <w:next w:val="Normal"/>
    <w:rsid w:val="001F425A"/>
    <w:pPr>
      <w:tabs>
        <w:tab w:val="left" w:pos="0"/>
      </w:tabs>
      <w:spacing w:before="120" w:after="60"/>
    </w:pPr>
    <w:rPr>
      <w:i/>
      <w:color w:val="918585"/>
      <w:sz w:val="22"/>
    </w:rPr>
  </w:style>
  <w:style w:type="paragraph" w:customStyle="1" w:styleId="TableBodyText">
    <w:name w:val="Table Body Text"/>
    <w:basedOn w:val="BodyText"/>
    <w:rsid w:val="001F425A"/>
    <w:pPr>
      <w:spacing w:before="60" w:after="60"/>
    </w:pPr>
  </w:style>
  <w:style w:type="paragraph" w:styleId="ListContinue">
    <w:name w:val="List Continue"/>
    <w:basedOn w:val="List"/>
    <w:rsid w:val="001F425A"/>
    <w:pPr>
      <w:ind w:firstLine="0"/>
    </w:pPr>
  </w:style>
  <w:style w:type="paragraph" w:customStyle="1" w:styleId="ListNote">
    <w:name w:val="List Note"/>
    <w:basedOn w:val="List"/>
    <w:rsid w:val="001F425A"/>
    <w:pPr>
      <w:pBdr>
        <w:top w:val="single" w:sz="6" w:space="2" w:color="918585"/>
        <w:bottom w:val="single" w:sz="6" w:space="2" w:color="918585"/>
      </w:pBdr>
      <w:tabs>
        <w:tab w:val="left" w:pos="1021"/>
      </w:tabs>
      <w:ind w:firstLine="0"/>
    </w:pPr>
  </w:style>
  <w:style w:type="paragraph" w:customStyle="1" w:styleId="Warning">
    <w:name w:val="Warning"/>
    <w:basedOn w:val="BodyText"/>
    <w:rsid w:val="001F425A"/>
    <w:pPr>
      <w:shd w:val="clear" w:color="auto" w:fill="D9D9D9"/>
      <w:tabs>
        <w:tab w:val="left" w:pos="992"/>
      </w:tabs>
      <w:ind w:left="119" w:right="119"/>
    </w:pPr>
    <w:rPr>
      <w:sz w:val="20"/>
    </w:rPr>
  </w:style>
  <w:style w:type="paragraph" w:customStyle="1" w:styleId="MarginIcons">
    <w:name w:val="Margin Icons"/>
    <w:basedOn w:val="BodyText"/>
    <w:rsid w:val="001F4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25A"/>
    <w:rPr>
      <w:rFonts w:ascii="Courier New" w:hAnsi="Courier New"/>
    </w:rPr>
  </w:style>
  <w:style w:type="paragraph" w:customStyle="1" w:styleId="NoteBullet">
    <w:name w:val="Note Bullet"/>
    <w:basedOn w:val="Note"/>
    <w:rsid w:val="001F425A"/>
    <w:pPr>
      <w:tabs>
        <w:tab w:val="clear" w:pos="680"/>
      </w:tabs>
      <w:spacing w:before="60" w:after="60"/>
    </w:pPr>
  </w:style>
  <w:style w:type="paragraph" w:customStyle="1" w:styleId="SubHeading2">
    <w:name w:val="SubHeading2"/>
    <w:basedOn w:val="HeadingBase"/>
    <w:rsid w:val="001F425A"/>
    <w:pPr>
      <w:spacing w:before="240" w:after="60"/>
    </w:pPr>
    <w:rPr>
      <w:sz w:val="20"/>
    </w:rPr>
  </w:style>
  <w:style w:type="paragraph" w:customStyle="1" w:styleId="SubHeading1">
    <w:name w:val="SubHeading1"/>
    <w:basedOn w:val="HeadingBase"/>
    <w:rsid w:val="001F425A"/>
    <w:pPr>
      <w:spacing w:before="240" w:after="60"/>
    </w:pPr>
    <w:rPr>
      <w:color w:val="918585"/>
      <w:sz w:val="22"/>
    </w:rPr>
  </w:style>
  <w:style w:type="paragraph" w:customStyle="1" w:styleId="SideHeading">
    <w:name w:val="Side Heading"/>
    <w:basedOn w:val="HeadingBase"/>
    <w:rsid w:val="001F4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25A"/>
    <w:pPr>
      <w:numPr>
        <w:numId w:val="9"/>
      </w:numPr>
    </w:pPr>
  </w:style>
  <w:style w:type="paragraph" w:styleId="PlainText">
    <w:name w:val="Plain Text"/>
    <w:basedOn w:val="Normal"/>
    <w:link w:val="PlainTextChar"/>
    <w:rsid w:val="001F425A"/>
    <w:rPr>
      <w:sz w:val="20"/>
    </w:rPr>
  </w:style>
  <w:style w:type="character" w:customStyle="1" w:styleId="PlainTextChar">
    <w:name w:val="Plain Text Char"/>
    <w:basedOn w:val="DefaultParagraphFont"/>
    <w:link w:val="PlainText"/>
    <w:rsid w:val="001F425A"/>
    <w:rPr>
      <w:rFonts w:ascii="Courier New" w:eastAsia="Times New Roman" w:hAnsi="Courier New" w:cs="Times New Roman"/>
      <w:sz w:val="20"/>
      <w:szCs w:val="20"/>
      <w:lang w:eastAsia="en-US"/>
    </w:rPr>
  </w:style>
  <w:style w:type="character" w:customStyle="1" w:styleId="MenuOption">
    <w:name w:val="Menu Option"/>
    <w:basedOn w:val="DefaultParagraphFont"/>
    <w:rsid w:val="001F425A"/>
    <w:rPr>
      <w:b/>
      <w:smallCaps/>
    </w:rPr>
  </w:style>
  <w:style w:type="paragraph" w:customStyle="1" w:styleId="TableListNumber">
    <w:name w:val="Table List Number"/>
    <w:basedOn w:val="ListNumber"/>
    <w:rsid w:val="001F425A"/>
    <w:pPr>
      <w:numPr>
        <w:numId w:val="0"/>
      </w:numPr>
    </w:pPr>
  </w:style>
  <w:style w:type="paragraph" w:styleId="TOC4">
    <w:name w:val="toc 4"/>
    <w:basedOn w:val="TOCBase"/>
    <w:next w:val="Normal"/>
    <w:semiHidden/>
    <w:rsid w:val="001F425A"/>
    <w:pPr>
      <w:tabs>
        <w:tab w:val="right" w:leader="dot" w:pos="9071"/>
      </w:tabs>
      <w:ind w:left="1701"/>
    </w:pPr>
  </w:style>
  <w:style w:type="paragraph" w:customStyle="1" w:styleId="ListAlpha">
    <w:name w:val="List Alpha"/>
    <w:basedOn w:val="List"/>
    <w:rsid w:val="001F425A"/>
    <w:pPr>
      <w:numPr>
        <w:numId w:val="7"/>
      </w:numPr>
    </w:pPr>
  </w:style>
  <w:style w:type="paragraph" w:customStyle="1" w:styleId="ListAlpha2">
    <w:name w:val="List Alpha 2"/>
    <w:basedOn w:val="List2"/>
    <w:rsid w:val="001F425A"/>
    <w:pPr>
      <w:numPr>
        <w:numId w:val="6"/>
      </w:numPr>
    </w:pPr>
  </w:style>
  <w:style w:type="paragraph" w:styleId="List3">
    <w:name w:val="List 3"/>
    <w:basedOn w:val="BodyText"/>
    <w:rsid w:val="001F425A"/>
    <w:pPr>
      <w:tabs>
        <w:tab w:val="left" w:pos="1021"/>
      </w:tabs>
      <w:spacing w:before="60" w:after="60"/>
      <w:ind w:left="1020" w:hanging="340"/>
    </w:pPr>
  </w:style>
  <w:style w:type="paragraph" w:styleId="List4">
    <w:name w:val="List 4"/>
    <w:basedOn w:val="BodyText"/>
    <w:rsid w:val="001F425A"/>
    <w:pPr>
      <w:tabs>
        <w:tab w:val="left" w:pos="1361"/>
      </w:tabs>
      <w:spacing w:before="60" w:after="60"/>
      <w:ind w:left="1361" w:hanging="340"/>
    </w:pPr>
  </w:style>
  <w:style w:type="paragraph" w:styleId="List5">
    <w:name w:val="List 5"/>
    <w:basedOn w:val="BodyText"/>
    <w:rsid w:val="001F425A"/>
    <w:pPr>
      <w:tabs>
        <w:tab w:val="left" w:pos="1701"/>
      </w:tabs>
      <w:spacing w:before="60" w:after="60"/>
      <w:ind w:left="1701" w:hanging="340"/>
    </w:pPr>
  </w:style>
  <w:style w:type="paragraph" w:styleId="ListBullet3">
    <w:name w:val="List Bullet 3"/>
    <w:basedOn w:val="List3"/>
    <w:rsid w:val="001F425A"/>
    <w:pPr>
      <w:numPr>
        <w:numId w:val="12"/>
      </w:numPr>
      <w:tabs>
        <w:tab w:val="clear" w:pos="1021"/>
      </w:tabs>
      <w:ind w:left="1037" w:hanging="357"/>
    </w:pPr>
  </w:style>
  <w:style w:type="paragraph" w:styleId="ListBullet4">
    <w:name w:val="List Bullet 4"/>
    <w:basedOn w:val="List4"/>
    <w:rsid w:val="001F425A"/>
    <w:pPr>
      <w:numPr>
        <w:numId w:val="1"/>
      </w:numPr>
      <w:tabs>
        <w:tab w:val="clear" w:pos="1361"/>
      </w:tabs>
    </w:pPr>
  </w:style>
  <w:style w:type="paragraph" w:styleId="ListBullet5">
    <w:name w:val="List Bullet 5"/>
    <w:basedOn w:val="List5"/>
    <w:rsid w:val="001F425A"/>
    <w:pPr>
      <w:numPr>
        <w:numId w:val="2"/>
      </w:numPr>
    </w:pPr>
  </w:style>
  <w:style w:type="paragraph" w:styleId="ListContinue2">
    <w:name w:val="List Continue 2"/>
    <w:basedOn w:val="List2"/>
    <w:rsid w:val="001F425A"/>
    <w:pPr>
      <w:ind w:firstLine="0"/>
    </w:pPr>
  </w:style>
  <w:style w:type="paragraph" w:styleId="ListContinue3">
    <w:name w:val="List Continue 3"/>
    <w:basedOn w:val="List3"/>
    <w:rsid w:val="001F425A"/>
    <w:pPr>
      <w:ind w:left="1021" w:firstLine="0"/>
    </w:pPr>
  </w:style>
  <w:style w:type="paragraph" w:styleId="ListContinue4">
    <w:name w:val="List Continue 4"/>
    <w:basedOn w:val="List4"/>
    <w:rsid w:val="001F425A"/>
    <w:pPr>
      <w:ind w:firstLine="0"/>
    </w:pPr>
  </w:style>
  <w:style w:type="paragraph" w:styleId="ListContinue5">
    <w:name w:val="List Continue 5"/>
    <w:basedOn w:val="List5"/>
    <w:rsid w:val="001F425A"/>
    <w:pPr>
      <w:ind w:firstLine="0"/>
    </w:pPr>
  </w:style>
  <w:style w:type="paragraph" w:styleId="ListNumber3">
    <w:name w:val="List Number 3"/>
    <w:basedOn w:val="List3"/>
    <w:rsid w:val="001F425A"/>
    <w:pPr>
      <w:numPr>
        <w:numId w:val="3"/>
      </w:numPr>
    </w:pPr>
  </w:style>
  <w:style w:type="paragraph" w:styleId="ListNumber4">
    <w:name w:val="List Number 4"/>
    <w:basedOn w:val="List4"/>
    <w:rsid w:val="001F425A"/>
    <w:pPr>
      <w:numPr>
        <w:numId w:val="4"/>
      </w:numPr>
    </w:pPr>
  </w:style>
  <w:style w:type="paragraph" w:styleId="ListNumber5">
    <w:name w:val="List Number 5"/>
    <w:basedOn w:val="List5"/>
    <w:rsid w:val="001F425A"/>
    <w:pPr>
      <w:numPr>
        <w:numId w:val="5"/>
      </w:numPr>
    </w:pPr>
  </w:style>
  <w:style w:type="paragraph" w:styleId="BlockText">
    <w:name w:val="Block Text"/>
    <w:basedOn w:val="Normal"/>
    <w:rsid w:val="001F425A"/>
    <w:pPr>
      <w:spacing w:after="120"/>
      <w:ind w:left="1440" w:right="1440"/>
    </w:pPr>
  </w:style>
  <w:style w:type="character" w:customStyle="1" w:styleId="Subscript">
    <w:name w:val="Subscript"/>
    <w:basedOn w:val="DefaultParagraphFont"/>
    <w:rsid w:val="001F425A"/>
    <w:rPr>
      <w:sz w:val="16"/>
      <w:vertAlign w:val="subscript"/>
    </w:rPr>
  </w:style>
  <w:style w:type="character" w:customStyle="1" w:styleId="Superscript">
    <w:name w:val="Superscript"/>
    <w:basedOn w:val="DefaultParagraphFont"/>
    <w:rsid w:val="001F425A"/>
    <w:rPr>
      <w:sz w:val="16"/>
      <w:vertAlign w:val="superscript"/>
    </w:rPr>
  </w:style>
  <w:style w:type="character" w:customStyle="1" w:styleId="Symbols">
    <w:name w:val="Symbols"/>
    <w:basedOn w:val="DefaultParagraphFont"/>
    <w:rsid w:val="001F425A"/>
    <w:rPr>
      <w:rFonts w:ascii="Symbol" w:hAnsi="Symbol"/>
    </w:rPr>
  </w:style>
  <w:style w:type="character" w:customStyle="1" w:styleId="MenuOptions">
    <w:name w:val="Menu Options"/>
    <w:basedOn w:val="DefaultParagraphFont"/>
    <w:rsid w:val="001F425A"/>
    <w:rPr>
      <w:rFonts w:ascii="Arial Narrow" w:hAnsi="Arial Narrow"/>
      <w:smallCaps/>
    </w:rPr>
  </w:style>
  <w:style w:type="character" w:customStyle="1" w:styleId="Buttons">
    <w:name w:val="Buttons"/>
    <w:basedOn w:val="DefaultParagraphFont"/>
    <w:rsid w:val="001F425A"/>
    <w:rPr>
      <w:b/>
    </w:rPr>
  </w:style>
  <w:style w:type="character" w:customStyle="1" w:styleId="Underlined">
    <w:name w:val="Underlined"/>
    <w:basedOn w:val="DefaultParagraphFont"/>
    <w:rsid w:val="001F425A"/>
    <w:rPr>
      <w:u w:val="single"/>
    </w:rPr>
  </w:style>
  <w:style w:type="paragraph" w:customStyle="1" w:styleId="TableBodyTextRight">
    <w:name w:val="Table Body Text Right"/>
    <w:basedOn w:val="TableBodyText"/>
    <w:rsid w:val="001F425A"/>
    <w:pPr>
      <w:widowControl w:val="0"/>
      <w:autoSpaceDE w:val="0"/>
      <w:autoSpaceDN w:val="0"/>
      <w:adjustRightInd w:val="0"/>
      <w:jc w:val="right"/>
    </w:pPr>
    <w:rPr>
      <w:rFonts w:cs="Arial"/>
      <w:szCs w:val="18"/>
    </w:rPr>
  </w:style>
  <w:style w:type="paragraph" w:customStyle="1" w:styleId="CopyrightText">
    <w:name w:val="Copyright Text"/>
    <w:basedOn w:val="BodyText"/>
    <w:rsid w:val="001F425A"/>
    <w:rPr>
      <w:sz w:val="18"/>
    </w:rPr>
  </w:style>
  <w:style w:type="paragraph" w:customStyle="1" w:styleId="BodySmallRight">
    <w:name w:val="Body Small Right"/>
    <w:basedOn w:val="BodyTextRight"/>
    <w:rsid w:val="001F425A"/>
    <w:rPr>
      <w:sz w:val="18"/>
      <w:szCs w:val="18"/>
    </w:rPr>
  </w:style>
  <w:style w:type="paragraph" w:customStyle="1" w:styleId="MarginEdition">
    <w:name w:val="Margin Edition"/>
    <w:basedOn w:val="MarginNote"/>
    <w:rsid w:val="001F425A"/>
    <w:pPr>
      <w:spacing w:before="0" w:after="0"/>
    </w:pPr>
    <w:rPr>
      <w:rFonts w:ascii="Times New Roman" w:hAnsi="Times New Roman"/>
      <w:color w:val="999999"/>
    </w:rPr>
  </w:style>
  <w:style w:type="paragraph" w:customStyle="1" w:styleId="Spacer">
    <w:name w:val="Spacer"/>
    <w:basedOn w:val="Normal"/>
    <w:rsid w:val="001F425A"/>
    <w:rPr>
      <w:sz w:val="2"/>
      <w:szCs w:val="2"/>
    </w:rPr>
  </w:style>
  <w:style w:type="character" w:customStyle="1" w:styleId="Small">
    <w:name w:val="Small"/>
    <w:basedOn w:val="DefaultParagraphFont"/>
    <w:rsid w:val="001F425A"/>
    <w:rPr>
      <w:sz w:val="16"/>
    </w:rPr>
  </w:style>
  <w:style w:type="paragraph" w:customStyle="1" w:styleId="WideTable">
    <w:name w:val="Wide Table"/>
    <w:basedOn w:val="Normal"/>
    <w:rsid w:val="001F425A"/>
    <w:pPr>
      <w:ind w:left="-1418"/>
    </w:pPr>
    <w:rPr>
      <w:sz w:val="2"/>
      <w:szCs w:val="2"/>
    </w:rPr>
  </w:style>
  <w:style w:type="character" w:styleId="PageNumber">
    <w:name w:val="page number"/>
    <w:basedOn w:val="DefaultParagraphFont"/>
    <w:rsid w:val="001F425A"/>
  </w:style>
  <w:style w:type="paragraph" w:styleId="Quote">
    <w:name w:val="Quote"/>
    <w:basedOn w:val="Heading1"/>
    <w:link w:val="QuoteChar"/>
    <w:qFormat/>
    <w:rsid w:val="001F425A"/>
    <w:rPr>
      <w:b w:val="0"/>
      <w:sz w:val="72"/>
      <w:szCs w:val="72"/>
      <w:lang w:val="en-NZ"/>
    </w:rPr>
  </w:style>
  <w:style w:type="character" w:customStyle="1" w:styleId="QuoteChar">
    <w:name w:val="Quote Char"/>
    <w:basedOn w:val="DefaultParagraphFont"/>
    <w:link w:val="Quote"/>
    <w:rsid w:val="001F4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25A"/>
    <w:pPr>
      <w:pageBreakBefore/>
    </w:pPr>
  </w:style>
  <w:style w:type="paragraph" w:customStyle="1" w:styleId="Border">
    <w:name w:val="Border"/>
    <w:basedOn w:val="Normal"/>
    <w:qFormat/>
    <w:rsid w:val="001F4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25A"/>
    <w:rPr>
      <w:b/>
      <w:bCs/>
      <w:i/>
      <w:iCs/>
      <w:color w:val="auto"/>
    </w:rPr>
  </w:style>
  <w:style w:type="paragraph" w:styleId="IntenseQuote">
    <w:name w:val="Intense Quote"/>
    <w:basedOn w:val="Normal"/>
    <w:next w:val="Normal"/>
    <w:link w:val="IntenseQuoteChar"/>
    <w:uiPriority w:val="30"/>
    <w:qFormat/>
    <w:rsid w:val="001F4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25A"/>
    <w:rPr>
      <w:smallCaps/>
      <w:color w:val="auto"/>
      <w:u w:val="single"/>
    </w:rPr>
  </w:style>
  <w:style w:type="character" w:styleId="IntenseReference">
    <w:name w:val="Intense Reference"/>
    <w:basedOn w:val="DefaultParagraphFont"/>
    <w:uiPriority w:val="32"/>
    <w:qFormat/>
    <w:rsid w:val="001F425A"/>
    <w:rPr>
      <w:b/>
      <w:bCs/>
      <w:smallCaps/>
      <w:color w:val="auto"/>
      <w:spacing w:val="5"/>
      <w:u w:val="single"/>
    </w:rPr>
  </w:style>
  <w:style w:type="paragraph" w:customStyle="1" w:styleId="2ColumnHeading">
    <w:name w:val="2Column Heading"/>
    <w:basedOn w:val="BodyText"/>
    <w:qFormat/>
    <w:rsid w:val="001F425A"/>
    <w:pPr>
      <w:spacing w:after="60"/>
      <w:ind w:left="-2268"/>
    </w:pPr>
    <w:rPr>
      <w:b/>
    </w:rPr>
  </w:style>
  <w:style w:type="paragraph" w:customStyle="1" w:styleId="Heading1TOC">
    <w:name w:val="Heading1 TOC"/>
    <w:basedOn w:val="Normal"/>
    <w:qFormat/>
    <w:rsid w:val="001F425A"/>
    <w:pPr>
      <w:spacing w:before="240" w:after="120"/>
    </w:pPr>
    <w:rPr>
      <w:rFonts w:ascii="Times New Roman" w:hAnsi="Times New Roman"/>
      <w:b/>
      <w:sz w:val="32"/>
    </w:rPr>
  </w:style>
  <w:style w:type="paragraph" w:customStyle="1" w:styleId="Heading2TOC">
    <w:name w:val="Heading2 TOC"/>
    <w:basedOn w:val="Normal"/>
    <w:qFormat/>
    <w:rsid w:val="001F425A"/>
    <w:pPr>
      <w:spacing w:before="240" w:after="60"/>
    </w:pPr>
    <w:rPr>
      <w:rFonts w:ascii="Times New Roman" w:hAnsi="Times New Roman"/>
      <w:b/>
      <w:sz w:val="28"/>
    </w:rPr>
  </w:style>
  <w:style w:type="character" w:customStyle="1" w:styleId="Underline">
    <w:name w:val="Underline"/>
    <w:basedOn w:val="DefaultParagraphFont"/>
    <w:qFormat/>
    <w:rsid w:val="001F425A"/>
    <w:rPr>
      <w:u w:val="single"/>
    </w:rPr>
  </w:style>
  <w:style w:type="character" w:customStyle="1" w:styleId="BoldandItalics">
    <w:name w:val="Bold and Italics"/>
    <w:qFormat/>
    <w:rsid w:val="001F425A"/>
    <w:rPr>
      <w:b/>
      <w:i/>
      <w:u w:val="none"/>
    </w:rPr>
  </w:style>
  <w:style w:type="paragraph" w:styleId="BalloonText">
    <w:name w:val="Balloon Text"/>
    <w:basedOn w:val="Normal"/>
    <w:link w:val="BalloonTextChar"/>
    <w:rsid w:val="001F425A"/>
    <w:rPr>
      <w:rFonts w:ascii="Tahoma" w:hAnsi="Tahoma" w:cs="Tahoma"/>
      <w:sz w:val="16"/>
      <w:szCs w:val="16"/>
    </w:rPr>
  </w:style>
  <w:style w:type="character" w:customStyle="1" w:styleId="BalloonTextChar">
    <w:name w:val="Balloon Text Char"/>
    <w:basedOn w:val="DefaultParagraphFont"/>
    <w:link w:val="BalloonText"/>
    <w:rsid w:val="001F4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2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25A"/>
    <w:rPr>
      <w:b/>
      <w:color w:val="660033"/>
      <w:spacing w:val="0"/>
    </w:rPr>
  </w:style>
  <w:style w:type="paragraph" w:customStyle="1" w:styleId="Nameditemlist">
    <w:name w:val="Named item list"/>
    <w:basedOn w:val="BodyText"/>
    <w:qFormat/>
    <w:rsid w:val="001F425A"/>
    <w:pPr>
      <w:tabs>
        <w:tab w:val="left" w:pos="2835"/>
      </w:tabs>
      <w:ind w:left="2835" w:hanging="2835"/>
    </w:pPr>
  </w:style>
  <w:style w:type="paragraph" w:customStyle="1" w:styleId="BodyTextnopadding">
    <w:name w:val="Body Text no padding"/>
    <w:basedOn w:val="BodyText"/>
    <w:qFormat/>
    <w:rsid w:val="001F425A"/>
    <w:pPr>
      <w:spacing w:before="0" w:after="0"/>
    </w:pPr>
  </w:style>
  <w:style w:type="paragraph" w:customStyle="1" w:styleId="BodyTextBold">
    <w:name w:val="Body Text Bold"/>
    <w:basedOn w:val="BodyText"/>
    <w:qFormat/>
    <w:rsid w:val="001F425A"/>
    <w:rPr>
      <w:b/>
    </w:rPr>
  </w:style>
  <w:style w:type="character" w:styleId="Hyperlink">
    <w:name w:val="Hyperlink"/>
    <w:basedOn w:val="DefaultParagraphFont"/>
    <w:uiPriority w:val="99"/>
    <w:unhideWhenUsed/>
    <w:rsid w:val="00B73B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6336</Characters>
  <Application>Microsoft Office Word</Application>
  <DocSecurity>0</DocSecurity>
  <Lines>186</Lines>
  <Paragraphs>122</Paragraphs>
  <ScaleCrop>false</ScaleCrop>
  <Company>Author-it Software Corporation Ltd.</Company>
  <LinksUpToDate>false</LinksUpToDate>
  <CharactersWithSpaces>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HLTDET014 Repair and modify dentures and appliances</dc:title>
  <dc:subject>Approved</dc:subject>
  <dc:creator>HumanAbility</dc:creator>
  <cp:keywords>Release: 1</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