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0AD" w:rsidP="005D1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HLTDET011 Construct ceramic and fixed restorations</w:t>
      </w:r>
      <w:r>
        <w:fldChar w:fldCharType="end"/>
      </w:r>
    </w:p>
    <w:p w:rsidR="005D10AD" w:rsidP="005D10AD">
      <w:pPr>
        <w:pStyle w:val="Version"/>
        <w:sectPr w:rsidSect="00BA3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54D" w:rsidP="00BA354D">
      <w:pPr>
        <w:pStyle w:val="SuperHeading"/>
      </w:pPr>
      <w:r w:rsidRPr="00BA354D">
        <w:t>HLTDET011 Construct ceramic and fixed restorations</w:t>
      </w:r>
    </w:p>
    <w:p w:rsidR="00000000" w:rsidRPr="00BA354D" w:rsidP="00BA354D">
      <w:pPr>
        <w:pStyle w:val="Heading1"/>
      </w:pPr>
      <w:bookmarkStart w:id="1" w:name="O_820035"/>
      <w:bookmarkEnd w:id="1"/>
      <w:r w:rsidRPr="00BA35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5D1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 xml:space="preserve">Release </w:t>
            </w:r>
            <w:r w:rsidRPr="00BA354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 xml:space="preserve">Comments </w:t>
            </w:r>
          </w:p>
        </w:tc>
      </w:tr>
      <w:tr w:rsidTr="005D1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 xml:space="preserve">This version was released in </w:t>
            </w:r>
            <w:r w:rsidRPr="00BA354D">
              <w:rPr>
                <w:rStyle w:val="Emphasis"/>
              </w:rPr>
              <w:t>HLT Health Training Package release 3.0</w:t>
            </w:r>
            <w:r w:rsidRPr="00BA354D">
              <w:t xml:space="preserve"> and meets the requirements of the 2012 Standards for Training Packages.</w:t>
            </w:r>
          </w:p>
          <w:p w:rsidR="00000000" w:rsidRPr="00BA354D" w:rsidP="00BA354D">
            <w:pPr>
              <w:pStyle w:val="BodyText"/>
            </w:pPr>
            <w:r w:rsidRPr="00BA354D">
              <w:t>Merged HLTDT512D/HLTDT513C</w:t>
            </w:r>
          </w:p>
          <w:p w:rsidR="00000000" w:rsidRPr="00BA354D" w:rsidP="00BA354D">
            <w:pPr>
              <w:pStyle w:val="BodyText"/>
            </w:pPr>
            <w:r w:rsidRPr="00BA354D">
              <w:t>Significant changes to the e</w:t>
            </w:r>
            <w:r w:rsidRPr="00BA354D">
              <w:t>lements and performance criteria. New evidence requirements for assessment including volume and frequency requirements. Removal of pre-requisites</w:t>
            </w:r>
          </w:p>
        </w:tc>
      </w:tr>
    </w:tbl>
    <w:p w:rsidR="00000000" w:rsidRPr="00BA354D" w:rsidP="00BA354D">
      <w:pPr>
        <w:pStyle w:val="BodyText"/>
      </w:pPr>
    </w:p>
    <w:p w:rsidR="00000000" w:rsidRPr="00BA354D" w:rsidP="00BA354D">
      <w:pPr>
        <w:pStyle w:val="AllowPageBreak"/>
      </w:pPr>
    </w:p>
    <w:p w:rsidR="00000000" w:rsidRPr="00BA354D" w:rsidP="00BA354D">
      <w:pPr>
        <w:pStyle w:val="Heading1"/>
      </w:pPr>
      <w:bookmarkStart w:id="2" w:name="O_820036"/>
      <w:bookmarkEnd w:id="2"/>
      <w:r w:rsidRPr="00BA354D">
        <w:t>Application</w:t>
      </w:r>
    </w:p>
    <w:p w:rsidR="00000000" w:rsidRPr="00BA354D" w:rsidP="005D10AD">
      <w:pPr>
        <w:pStyle w:val="BodyText"/>
      </w:pPr>
      <w:r w:rsidRPr="00BA354D">
        <w:t>This unit of competency describes the skills and knowledge required to take a t</w:t>
      </w:r>
      <w:r w:rsidRPr="00BA354D">
        <w:t>ooth shade and construct ceramic and fixed restorations.</w:t>
      </w:r>
    </w:p>
    <w:p w:rsidR="00000000" w:rsidRPr="00BA354D" w:rsidP="005D10AD">
      <w:pPr>
        <w:pStyle w:val="BodyText"/>
      </w:pPr>
      <w:r w:rsidRPr="00BA354D">
        <w:t>This unit applies to work in dental technology.</w:t>
      </w:r>
    </w:p>
    <w:p w:rsidR="005D10AD" w:rsidRPr="005D10AD" w:rsidP="005D10AD">
      <w:pPr>
        <w:pStyle w:val="BodyText"/>
        <w:rPr>
          <w:i/>
        </w:rPr>
      </w:pPr>
      <w:r w:rsidRPr="005D10AD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5D10AD">
        <w:rPr>
          <w:rStyle w:val="Emphasis"/>
        </w:rPr>
        <w:t>y codes of practice</w:t>
      </w:r>
      <w:r w:rsidRPr="005D10AD">
        <w:rPr>
          <w:i/>
        </w:rPr>
        <w:t>.</w:t>
      </w:r>
    </w:p>
    <w:p w:rsidR="00000000" w:rsidRPr="00BA354D" w:rsidP="00BA354D">
      <w:pPr>
        <w:pStyle w:val="Heading1"/>
      </w:pPr>
      <w:bookmarkStart w:id="3" w:name="O_820040"/>
      <w:bookmarkEnd w:id="3"/>
      <w:r w:rsidRPr="00BA35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rPr>
                <w:rStyle w:val="SpecialBold"/>
              </w:rPr>
              <w:t>PERFORMANCE CRITERIA</w:t>
            </w:r>
          </w:p>
        </w:tc>
      </w:tr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Performance criteria describe the performance needed to demonstrate achievement of the element.</w:t>
            </w:r>
          </w:p>
        </w:tc>
      </w:tr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1. Take tooth shade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>1.1 Read and interpret work order</w:t>
            </w:r>
          </w:p>
          <w:p w:rsidR="00000000" w:rsidRPr="00BA354D" w:rsidP="00BA354D">
            <w:pPr>
              <w:pStyle w:val="BodyText"/>
            </w:pPr>
            <w:r w:rsidRPr="00BA354D">
              <w:t>1.2 Provide full details of the procedure to the patient or carer where appropriate</w:t>
            </w:r>
          </w:p>
          <w:p w:rsidR="00000000" w:rsidRPr="00BA354D" w:rsidP="00BA354D">
            <w:pPr>
              <w:pStyle w:val="BodyText"/>
            </w:pPr>
            <w:r w:rsidRPr="00BA354D">
              <w:t>1.3 Obtain and document consent following ethical and legal requirements</w:t>
            </w:r>
          </w:p>
          <w:p w:rsidR="00000000" w:rsidRPr="00BA354D" w:rsidP="00BA354D">
            <w:pPr>
              <w:pStyle w:val="BodyText"/>
            </w:pPr>
            <w:r w:rsidRPr="00BA354D">
              <w:t>1.4 Consider the accuracy of natural and arti</w:t>
            </w:r>
            <w:r w:rsidRPr="00BA354D">
              <w:t>ficial light</w:t>
            </w:r>
          </w:p>
          <w:p w:rsidR="00000000" w:rsidRPr="00BA354D" w:rsidP="00BA354D">
            <w:pPr>
              <w:pStyle w:val="BodyText"/>
            </w:pPr>
            <w:r w:rsidRPr="00BA354D">
              <w:t>1.5 Position the patient correctly for the procedure</w:t>
            </w:r>
          </w:p>
          <w:p w:rsidR="00000000" w:rsidRPr="00BA354D" w:rsidP="00BA354D">
            <w:pPr>
              <w:pStyle w:val="BodyText"/>
            </w:pPr>
            <w:r w:rsidRPr="00BA354D">
              <w:t xml:space="preserve">1.6 Consult patient regarding requirements and aesthetic outcomes </w:t>
            </w:r>
          </w:p>
          <w:p w:rsidR="00000000" w:rsidRPr="00BA354D" w:rsidP="00BA354D">
            <w:pPr>
              <w:pStyle w:val="BodyText"/>
            </w:pPr>
            <w:r w:rsidRPr="00BA354D">
              <w:t>1.7 View mouth to gain overview of procedure.</w:t>
            </w:r>
          </w:p>
          <w:p w:rsidR="00000000" w:rsidRPr="00BA354D" w:rsidP="00BA354D">
            <w:pPr>
              <w:pStyle w:val="BodyText"/>
            </w:pPr>
            <w:r w:rsidRPr="00BA354D">
              <w:t>1.8 Select technique and prepare equipment and materials for tooth shade reco</w:t>
            </w:r>
            <w:r w:rsidRPr="00BA354D">
              <w:t>rding</w:t>
            </w:r>
          </w:p>
          <w:p w:rsidR="00000000" w:rsidRPr="00BA354D" w:rsidP="00BA354D">
            <w:pPr>
              <w:pStyle w:val="BodyText"/>
            </w:pPr>
            <w:r w:rsidRPr="00BA354D">
              <w:t>1.9 Implement standard precautions to prevent the spread of infection</w:t>
            </w:r>
          </w:p>
          <w:p w:rsidR="00000000" w:rsidRPr="00BA354D" w:rsidP="00BA354D">
            <w:pPr>
              <w:pStyle w:val="BodyText"/>
            </w:pPr>
            <w:r w:rsidRPr="00BA354D">
              <w:t>1.10 Instruct patient on participation during the procedure</w:t>
            </w:r>
          </w:p>
          <w:p w:rsidR="00000000" w:rsidRPr="00BA354D" w:rsidP="00BA354D">
            <w:pPr>
              <w:pStyle w:val="BodyText"/>
            </w:pPr>
            <w:r w:rsidRPr="00BA354D">
              <w:t>1.11 Select tooth shade and consult patient regarding findings, and gain acceptance</w:t>
            </w:r>
          </w:p>
          <w:p w:rsidR="00000000" w:rsidRPr="00BA354D" w:rsidP="00BA354D">
            <w:pPr>
              <w:pStyle w:val="BodyText"/>
            </w:pPr>
            <w:r w:rsidRPr="00BA354D">
              <w:t>1.12 Document the tooth shade</w:t>
            </w:r>
          </w:p>
          <w:p w:rsidR="00000000" w:rsidRPr="00BA354D" w:rsidP="00BA354D">
            <w:pPr>
              <w:pStyle w:val="BodyText"/>
            </w:pPr>
            <w:r w:rsidRPr="00BA354D">
              <w:t>1.13 Discuss any follow-up procedures with the patient</w:t>
            </w:r>
          </w:p>
          <w:p w:rsidR="00000000" w:rsidP="00BA354D">
            <w:pPr>
              <w:pStyle w:val="BodyText"/>
              <w:rPr>
                <w:lang w:val="en-NZ"/>
              </w:rPr>
            </w:pPr>
          </w:p>
        </w:tc>
      </w:tr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2. Prepare sub-structures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>2.1 Read and interpret the work order</w:t>
            </w:r>
          </w:p>
          <w:p w:rsidR="00000000" w:rsidRPr="00BA354D" w:rsidP="00BA354D">
            <w:pPr>
              <w:pStyle w:val="BodyText"/>
            </w:pPr>
            <w:r w:rsidRPr="00BA354D">
              <w:t>2.2 Design and form substructure</w:t>
            </w:r>
          </w:p>
          <w:p w:rsidR="00000000" w:rsidRPr="00BA354D" w:rsidP="00BA354D">
            <w:pPr>
              <w:pStyle w:val="BodyText"/>
            </w:pPr>
            <w:r w:rsidRPr="00BA354D">
              <w:t>2.3 Process the substructure</w:t>
            </w:r>
          </w:p>
          <w:p w:rsidR="00000000" w:rsidRPr="00BA354D" w:rsidP="00BA354D">
            <w:pPr>
              <w:pStyle w:val="BodyText"/>
            </w:pPr>
            <w:r w:rsidRPr="00BA354D">
              <w:t>2.4 Assess substructure for accuracy and appropriateness</w:t>
            </w:r>
          </w:p>
          <w:p w:rsidR="00000000" w:rsidRPr="00BA354D" w:rsidP="00BA354D">
            <w:pPr>
              <w:pStyle w:val="BodyText"/>
            </w:pPr>
            <w:r w:rsidRPr="00BA354D">
              <w:t xml:space="preserve">2.5 Prepare the </w:t>
            </w:r>
            <w:r w:rsidRPr="00BA354D">
              <w:t>bonding surface of the substructure if required for porcelain build up in accordance with the manufacturer’s instructions</w:t>
            </w:r>
          </w:p>
          <w:p w:rsidR="00000000" w:rsidP="00BA354D">
            <w:pPr>
              <w:pStyle w:val="BodyText"/>
              <w:rPr>
                <w:lang w:val="en-NZ"/>
              </w:rPr>
            </w:pPr>
          </w:p>
        </w:tc>
      </w:tr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3. Select, apply and process ceramics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>3.1 Select appropriate ceramic for substructure or restoration</w:t>
            </w:r>
          </w:p>
          <w:p w:rsidR="00000000" w:rsidRPr="00BA354D" w:rsidP="00BA354D">
            <w:pPr>
              <w:pStyle w:val="BodyText"/>
            </w:pPr>
            <w:r w:rsidRPr="00BA354D">
              <w:t>3.2 Apply procedures to selecte</w:t>
            </w:r>
            <w:r w:rsidRPr="00BA354D">
              <w:t xml:space="preserve">d ceramic for substructures or restoration </w:t>
            </w:r>
          </w:p>
          <w:p w:rsidR="00000000" w:rsidRPr="00BA354D" w:rsidP="00BA354D">
            <w:pPr>
              <w:pStyle w:val="BodyText"/>
            </w:pPr>
            <w:r w:rsidRPr="00BA354D">
              <w:t>3.3 Process the restoration in accordance with the manufacturer’s instructions</w:t>
            </w:r>
          </w:p>
          <w:p w:rsidR="00000000" w:rsidP="00BA354D">
            <w:pPr>
              <w:pStyle w:val="BodyText"/>
              <w:rPr>
                <w:lang w:val="en-NZ"/>
              </w:rPr>
            </w:pPr>
          </w:p>
        </w:tc>
      </w:tr>
      <w:tr w:rsidTr="00BA3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t>4. Trim, shape and finish ceramic restorations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>4.1 Trim the ceramic restoration to required anatomical shape</w:t>
            </w:r>
          </w:p>
          <w:p w:rsidR="00000000" w:rsidRPr="00BA354D" w:rsidP="00BA354D">
            <w:pPr>
              <w:pStyle w:val="BodyText"/>
            </w:pPr>
            <w:r w:rsidRPr="00BA354D">
              <w:t>4.2 Finish the ceramic</w:t>
            </w:r>
            <w:r w:rsidRPr="00BA354D">
              <w:t xml:space="preserve"> restoration to meet clinically accepted standards</w:t>
            </w:r>
          </w:p>
          <w:p w:rsidR="00000000" w:rsidRPr="00BA354D" w:rsidP="00BA354D">
            <w:pPr>
              <w:pStyle w:val="BodyText"/>
            </w:pPr>
            <w:r w:rsidRPr="00BA354D">
              <w:t>4.3 Evaluate the quality of the finished restoration</w:t>
            </w:r>
          </w:p>
          <w:p w:rsidR="00000000" w:rsidRPr="00BA354D" w:rsidP="00BA354D">
            <w:pPr>
              <w:pStyle w:val="BodyText"/>
            </w:pPr>
            <w:r w:rsidRPr="00BA354D">
              <w:t>4.4 Decontaminate the ceramic restoration according to infection control guidelines</w:t>
            </w:r>
          </w:p>
          <w:p w:rsidR="00000000" w:rsidRPr="00BA354D" w:rsidP="00BA354D">
            <w:pPr>
              <w:pStyle w:val="BodyText"/>
            </w:pPr>
            <w:r w:rsidRPr="00BA354D">
              <w:t>4.5 D</w:t>
            </w:r>
            <w:r w:rsidRPr="00BA354D">
              <w:t>ry the ceramic restoration, place on model and place in a sealed container for dispatch and record completed work order</w:t>
            </w:r>
          </w:p>
        </w:tc>
      </w:tr>
    </w:tbl>
    <w:p w:rsidR="00000000" w:rsidRPr="00BA354D" w:rsidP="00BA354D">
      <w:pPr>
        <w:pStyle w:val="BodyText"/>
      </w:pPr>
    </w:p>
    <w:p w:rsidR="00000000" w:rsidRPr="00BA354D" w:rsidP="00BA354D">
      <w:pPr>
        <w:pStyle w:val="AllowPageBreak"/>
      </w:pPr>
    </w:p>
    <w:p w:rsidR="00000000" w:rsidRPr="00BA354D" w:rsidP="00BA354D">
      <w:pPr>
        <w:pStyle w:val="Heading1"/>
      </w:pPr>
      <w:bookmarkStart w:id="4" w:name="O_820041"/>
      <w:bookmarkEnd w:id="4"/>
      <w:r w:rsidRPr="00BA35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D1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54D">
            <w:pPr>
              <w:pStyle w:val="BodyText"/>
              <w:rPr>
                <w:lang w:val="en-NZ"/>
              </w:rPr>
            </w:pPr>
            <w:r w:rsidRPr="00BA354D">
              <w:rPr>
                <w:rStyle w:val="Emphasis"/>
              </w:rPr>
              <w:t>The Foundation Skills describe those required skills (language, literacy, numeracy and employment s</w:t>
            </w:r>
            <w:r w:rsidRPr="00BA354D">
              <w:rPr>
                <w:rStyle w:val="Emphasis"/>
              </w:rPr>
              <w:t xml:space="preserve">kills) that </w:t>
            </w:r>
            <w:r w:rsidRPr="00BA354D">
              <w:t xml:space="preserve">are essential to </w:t>
            </w:r>
            <w:r w:rsidRPr="00BA354D">
              <w:rPr>
                <w:rStyle w:val="Emphasis"/>
              </w:rPr>
              <w:t>performance.</w:t>
            </w:r>
          </w:p>
        </w:tc>
      </w:tr>
      <w:tr w:rsidTr="005D1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54D" w:rsidP="00BA354D">
            <w:pPr>
              <w:pStyle w:val="BodyText"/>
            </w:pPr>
            <w:r w:rsidRPr="00BA354D">
              <w:t>Foundation skills essential to performance are explicit in the performance criteria of this unit of competency.</w:t>
            </w:r>
          </w:p>
        </w:tc>
      </w:tr>
    </w:tbl>
    <w:p w:rsidR="005D10AD" w:rsidP="00BA354D">
      <w:pPr>
        <w:pStyle w:val="BodyText"/>
      </w:pPr>
    </w:p>
    <w:p w:rsidR="005D10AD" w:rsidP="00BA354D">
      <w:pPr>
        <w:pStyle w:val="BodyText"/>
      </w:pPr>
    </w:p>
    <w:p w:rsidR="00000000" w:rsidRPr="00BA354D" w:rsidP="00BA354D">
      <w:pPr>
        <w:pStyle w:val="Heading1"/>
      </w:pPr>
      <w:bookmarkStart w:id="5" w:name="O_820043"/>
      <w:bookmarkEnd w:id="5"/>
      <w:r w:rsidRPr="00BA354D">
        <w:t>Unit Mapping Information</w:t>
      </w:r>
    </w:p>
    <w:p w:rsidR="00000000" w:rsidRPr="00BA354D" w:rsidP="005D10AD">
      <w:pPr>
        <w:pStyle w:val="BodyText"/>
      </w:pPr>
      <w:r w:rsidRPr="00BA354D">
        <w:t xml:space="preserve">No Equivalent Unit </w:t>
      </w:r>
    </w:p>
    <w:p w:rsidR="00000000" w:rsidRPr="00BA354D" w:rsidP="00BA354D">
      <w:pPr>
        <w:pStyle w:val="Heading1"/>
      </w:pPr>
      <w:bookmarkStart w:id="6" w:name="O_820050"/>
      <w:bookmarkEnd w:id="6"/>
      <w:r w:rsidRPr="00BA354D">
        <w:t>Links</w:t>
      </w:r>
    </w:p>
    <w:p w:rsidR="00000000" w:rsidRPr="00BA354D" w:rsidP="005D10AD">
      <w:pPr>
        <w:pStyle w:val="BodyText"/>
      </w:pPr>
      <w:r w:rsidRPr="00BA354D">
        <w:t>Companion Vol</w:t>
      </w:r>
      <w:r w:rsidRPr="00BA354D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56D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A354D" w:rsidP="00BA354D"/>
    <w:sectPr w:rsidSect="00BA3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4D" w:rsidRPr="005D10AD" w:rsidP="005D1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D" w:rsidP="00BA3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0AD" w:rsidP="00BA3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0AD" w:rsidP="00BA3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54D" w:rsidRPr="005D10AD" w:rsidP="005D1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D" w:rsidRPr="002D2AF8" w:rsidP="00BA3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HLTDET011 Construct ceramic and fixed restorations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10AD" w:rsidP="00BA3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54D"/>
  </w:style>
  <w:style w:type="character" w:customStyle="1" w:styleId="Heading1Char">
    <w:name w:val="Heading 1 Char"/>
    <w:basedOn w:val="DefaultParagraphFont"/>
    <w:link w:val="Heading1"/>
    <w:rsid w:val="00BA3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5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354D"/>
    <w:rPr>
      <w:b/>
      <w:spacing w:val="0"/>
    </w:rPr>
  </w:style>
  <w:style w:type="character" w:styleId="Emphasis">
    <w:name w:val="Emphasis"/>
    <w:basedOn w:val="DefaultParagraphFont"/>
    <w:qFormat/>
    <w:rsid w:val="00BA354D"/>
    <w:rPr>
      <w:i/>
    </w:rPr>
  </w:style>
  <w:style w:type="paragraph" w:customStyle="1" w:styleId="SuperHeading">
    <w:name w:val="SuperHeading"/>
    <w:basedOn w:val="Normal"/>
    <w:rsid w:val="00BA3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5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5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54D"/>
  </w:style>
  <w:style w:type="paragraph" w:styleId="TableofFigures">
    <w:name w:val="table of figures"/>
    <w:basedOn w:val="Normal"/>
    <w:next w:val="Normal"/>
    <w:semiHidden/>
    <w:rsid w:val="00BA3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5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354D"/>
    <w:rPr>
      <w:rFonts w:ascii="Wingdings" w:hAnsi="Wingdings"/>
    </w:rPr>
  </w:style>
  <w:style w:type="paragraph" w:customStyle="1" w:styleId="TableHeading">
    <w:name w:val="Table Heading"/>
    <w:basedOn w:val="HeadingBase"/>
    <w:rsid w:val="00BA3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54D"/>
    <w:rPr>
      <w:color w:val="0033CC"/>
      <w:u w:val="none"/>
    </w:rPr>
  </w:style>
  <w:style w:type="paragraph" w:customStyle="1" w:styleId="BodyTextRight">
    <w:name w:val="Body Text Right"/>
    <w:basedOn w:val="BodyText"/>
    <w:rsid w:val="00BA3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5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54D"/>
    <w:rPr>
      <w:sz w:val="32"/>
    </w:rPr>
  </w:style>
  <w:style w:type="paragraph" w:customStyle="1" w:styleId="HeadingProcedure">
    <w:name w:val="Heading Procedure"/>
    <w:basedOn w:val="HeadingBase"/>
    <w:next w:val="Normal"/>
    <w:rsid w:val="00BA3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54D"/>
    <w:pPr>
      <w:spacing w:before="60" w:after="60"/>
    </w:pPr>
  </w:style>
  <w:style w:type="paragraph" w:styleId="ListContinue">
    <w:name w:val="List Continue"/>
    <w:basedOn w:val="List"/>
    <w:rsid w:val="00BA354D"/>
    <w:pPr>
      <w:ind w:firstLine="0"/>
    </w:pPr>
  </w:style>
  <w:style w:type="paragraph" w:customStyle="1" w:styleId="ListNote">
    <w:name w:val="List Note"/>
    <w:basedOn w:val="List"/>
    <w:rsid w:val="00BA3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54D"/>
    <w:rPr>
      <w:rFonts w:ascii="Courier New" w:hAnsi="Courier New"/>
    </w:rPr>
  </w:style>
  <w:style w:type="paragraph" w:customStyle="1" w:styleId="NoteBullet">
    <w:name w:val="Note Bullet"/>
    <w:basedOn w:val="Note"/>
    <w:rsid w:val="00BA3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5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3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54D"/>
    <w:rPr>
      <w:b/>
      <w:smallCaps/>
    </w:rPr>
  </w:style>
  <w:style w:type="paragraph" w:customStyle="1" w:styleId="TableListNumber">
    <w:name w:val="Table List Number"/>
    <w:basedOn w:val="ListNumber"/>
    <w:rsid w:val="00BA3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54D"/>
    <w:pPr>
      <w:numPr>
        <w:numId w:val="7"/>
      </w:numPr>
    </w:pPr>
  </w:style>
  <w:style w:type="paragraph" w:customStyle="1" w:styleId="ListAlpha2">
    <w:name w:val="List Alpha 2"/>
    <w:basedOn w:val="List2"/>
    <w:rsid w:val="00BA354D"/>
    <w:pPr>
      <w:numPr>
        <w:numId w:val="6"/>
      </w:numPr>
    </w:pPr>
  </w:style>
  <w:style w:type="paragraph" w:styleId="List2">
    <w:name w:val="List 2"/>
    <w:basedOn w:val="BodyText"/>
    <w:rsid w:val="00BA3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5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5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354D"/>
    <w:pPr>
      <w:numPr>
        <w:numId w:val="2"/>
      </w:numPr>
    </w:pPr>
  </w:style>
  <w:style w:type="paragraph" w:styleId="ListContinue2">
    <w:name w:val="List Continue 2"/>
    <w:basedOn w:val="List2"/>
    <w:rsid w:val="00BA354D"/>
    <w:pPr>
      <w:ind w:firstLine="0"/>
    </w:pPr>
  </w:style>
  <w:style w:type="paragraph" w:styleId="ListContinue3">
    <w:name w:val="List Continue 3"/>
    <w:basedOn w:val="List3"/>
    <w:rsid w:val="00BA354D"/>
    <w:pPr>
      <w:ind w:left="1021" w:firstLine="0"/>
    </w:pPr>
  </w:style>
  <w:style w:type="paragraph" w:styleId="ListContinue4">
    <w:name w:val="List Continue 4"/>
    <w:basedOn w:val="List4"/>
    <w:rsid w:val="00BA354D"/>
    <w:pPr>
      <w:ind w:firstLine="0"/>
    </w:pPr>
  </w:style>
  <w:style w:type="paragraph" w:styleId="ListContinue5">
    <w:name w:val="List Continue 5"/>
    <w:basedOn w:val="List5"/>
    <w:rsid w:val="00BA354D"/>
    <w:pPr>
      <w:ind w:firstLine="0"/>
    </w:pPr>
  </w:style>
  <w:style w:type="paragraph" w:styleId="ListNumber3">
    <w:name w:val="List Number 3"/>
    <w:basedOn w:val="List3"/>
    <w:rsid w:val="00BA354D"/>
    <w:pPr>
      <w:numPr>
        <w:numId w:val="3"/>
      </w:numPr>
    </w:pPr>
  </w:style>
  <w:style w:type="paragraph" w:styleId="ListNumber4">
    <w:name w:val="List Number 4"/>
    <w:basedOn w:val="List4"/>
    <w:rsid w:val="00BA354D"/>
    <w:pPr>
      <w:numPr>
        <w:numId w:val="4"/>
      </w:numPr>
    </w:pPr>
  </w:style>
  <w:style w:type="paragraph" w:styleId="ListNumber5">
    <w:name w:val="List Number 5"/>
    <w:basedOn w:val="List5"/>
    <w:rsid w:val="00BA354D"/>
    <w:pPr>
      <w:numPr>
        <w:numId w:val="5"/>
      </w:numPr>
    </w:pPr>
  </w:style>
  <w:style w:type="paragraph" w:styleId="BlockText">
    <w:name w:val="Block Text"/>
    <w:basedOn w:val="Normal"/>
    <w:rsid w:val="00BA3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54D"/>
    <w:rPr>
      <w:sz w:val="16"/>
      <w:vertAlign w:val="superscript"/>
    </w:rPr>
  </w:style>
  <w:style w:type="character" w:customStyle="1" w:styleId="Symbols">
    <w:name w:val="Symbols"/>
    <w:basedOn w:val="DefaultParagraphFont"/>
    <w:rsid w:val="00BA354D"/>
    <w:rPr>
      <w:rFonts w:ascii="Symbol" w:hAnsi="Symbol"/>
    </w:rPr>
  </w:style>
  <w:style w:type="character" w:customStyle="1" w:styleId="MenuOptions">
    <w:name w:val="Menu Options"/>
    <w:basedOn w:val="DefaultParagraphFont"/>
    <w:rsid w:val="00BA3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54D"/>
    <w:rPr>
      <w:b/>
    </w:rPr>
  </w:style>
  <w:style w:type="character" w:customStyle="1" w:styleId="Underlined">
    <w:name w:val="Underlined"/>
    <w:basedOn w:val="DefaultParagraphFont"/>
    <w:rsid w:val="00BA354D"/>
    <w:rPr>
      <w:u w:val="single"/>
    </w:rPr>
  </w:style>
  <w:style w:type="paragraph" w:customStyle="1" w:styleId="TableBodyTextRight">
    <w:name w:val="Table Body Text Right"/>
    <w:basedOn w:val="TableBodyText"/>
    <w:rsid w:val="00BA3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54D"/>
    <w:rPr>
      <w:sz w:val="18"/>
    </w:rPr>
  </w:style>
  <w:style w:type="paragraph" w:customStyle="1" w:styleId="BodySmallRight">
    <w:name w:val="Body Small Right"/>
    <w:basedOn w:val="BodyTextRight"/>
    <w:rsid w:val="00BA354D"/>
    <w:rPr>
      <w:sz w:val="18"/>
      <w:szCs w:val="18"/>
    </w:rPr>
  </w:style>
  <w:style w:type="paragraph" w:customStyle="1" w:styleId="MarginEdition">
    <w:name w:val="Margin Edition"/>
    <w:basedOn w:val="MarginNote"/>
    <w:rsid w:val="00BA3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54D"/>
    <w:rPr>
      <w:sz w:val="2"/>
      <w:szCs w:val="2"/>
    </w:rPr>
  </w:style>
  <w:style w:type="character" w:customStyle="1" w:styleId="Small">
    <w:name w:val="Small"/>
    <w:basedOn w:val="DefaultParagraphFont"/>
    <w:rsid w:val="00BA354D"/>
    <w:rPr>
      <w:sz w:val="16"/>
    </w:rPr>
  </w:style>
  <w:style w:type="paragraph" w:customStyle="1" w:styleId="WideTable">
    <w:name w:val="Wide Table"/>
    <w:basedOn w:val="Normal"/>
    <w:rsid w:val="00BA3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54D"/>
  </w:style>
  <w:style w:type="paragraph" w:styleId="Quote">
    <w:name w:val="Quote"/>
    <w:basedOn w:val="Heading1"/>
    <w:link w:val="QuoteChar"/>
    <w:qFormat/>
    <w:rsid w:val="00BA3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54D"/>
    <w:pPr>
      <w:pageBreakBefore/>
    </w:pPr>
  </w:style>
  <w:style w:type="paragraph" w:customStyle="1" w:styleId="Border">
    <w:name w:val="Border"/>
    <w:basedOn w:val="Normal"/>
    <w:qFormat/>
    <w:rsid w:val="00BA3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54D"/>
    <w:rPr>
      <w:u w:val="single"/>
    </w:rPr>
  </w:style>
  <w:style w:type="character" w:customStyle="1" w:styleId="BoldandItalics">
    <w:name w:val="Bold and Italics"/>
    <w:qFormat/>
    <w:rsid w:val="00BA354D"/>
    <w:rPr>
      <w:b/>
      <w:i/>
      <w:u w:val="none"/>
    </w:rPr>
  </w:style>
  <w:style w:type="paragraph" w:styleId="BalloonText">
    <w:name w:val="Balloon Text"/>
    <w:basedOn w:val="Normal"/>
    <w:link w:val="BalloonTextChar"/>
    <w:rsid w:val="00BA3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54D"/>
    <w:pPr>
      <w:spacing w:before="0" w:after="0"/>
    </w:pPr>
  </w:style>
  <w:style w:type="paragraph" w:customStyle="1" w:styleId="BodyTextBold">
    <w:name w:val="Body Text Bold"/>
    <w:basedOn w:val="BodyText"/>
    <w:qFormat/>
    <w:rsid w:val="00BA354D"/>
    <w:rPr>
      <w:b/>
    </w:rPr>
  </w:style>
  <w:style w:type="character" w:styleId="Hyperlink">
    <w:name w:val="Hyperlink"/>
    <w:basedOn w:val="DefaultParagraphFont"/>
    <w:uiPriority w:val="99"/>
    <w:unhideWhenUsed/>
    <w:rsid w:val="005D1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3076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HLTDET011 Construct ceramic and fixed restorations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