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5C2" w:rsidP="00AA55C2">
      <w:pPr>
        <w:pStyle w:val="Title"/>
      </w:pPr>
      <w:r>
        <w:fldChar w:fldCharType="begin"/>
      </w:r>
      <w:r>
        <w:instrText xml:space="preserve"> TITLE   \* MERGEFORMAT </w:instrText>
      </w:r>
      <w:r>
        <w:fldChar w:fldCharType="separate"/>
      </w:r>
      <w:r>
        <w:t>Assessment Requirements for HLTDET011 Construct ceramic and fixed restorations</w:t>
      </w:r>
      <w:r>
        <w:fldChar w:fldCharType="end"/>
      </w:r>
    </w:p>
    <w:p w:rsidR="00AA55C2" w:rsidP="00AA55C2">
      <w:pPr>
        <w:pStyle w:val="Version"/>
        <w:sectPr w:rsidSect="005B4F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F4B" w:rsidP="005B4F4B">
      <w:pPr>
        <w:pStyle w:val="SuperHeading"/>
      </w:pPr>
      <w:r w:rsidRPr="005B4F4B">
        <w:t>Assessment Requirements for HLTDET011 Construct ceramic and fixed restorations</w:t>
      </w:r>
    </w:p>
    <w:p w:rsidR="00000000" w:rsidRPr="005B4F4B" w:rsidP="005B4F4B">
      <w:pPr>
        <w:pStyle w:val="Heading1"/>
      </w:pPr>
      <w:bookmarkStart w:id="1" w:name="O_820045"/>
      <w:bookmarkEnd w:id="1"/>
      <w:r w:rsidRPr="005B4F4B">
        <w:t>Modification History</w:t>
      </w:r>
    </w:p>
    <w:tbl>
      <w:tblPr>
        <w:tblW w:w="0" w:type="auto"/>
        <w:tblCellMar>
          <w:left w:w="62" w:type="dxa"/>
          <w:right w:w="62" w:type="dxa"/>
        </w:tblCellMar>
        <w:tblLook w:val="0000"/>
      </w:tblPr>
      <w:tblGrid>
        <w:gridCol w:w="2147"/>
        <w:gridCol w:w="7049"/>
      </w:tblGrid>
      <w:tr w:rsidTr="00AA55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F4B">
            <w:pPr>
              <w:pStyle w:val="BodyText"/>
              <w:rPr>
                <w:lang w:val="en-NZ"/>
              </w:rPr>
            </w:pPr>
            <w:r w:rsidRPr="005B4F4B">
              <w:t xml:space="preserve">Release </w:t>
            </w:r>
            <w:r w:rsidRPr="005B4F4B">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F4B">
            <w:pPr>
              <w:pStyle w:val="BodyText"/>
              <w:rPr>
                <w:lang w:val="en-NZ"/>
              </w:rPr>
            </w:pPr>
            <w:r w:rsidRPr="005B4F4B">
              <w:t xml:space="preserve">Comments </w:t>
            </w:r>
          </w:p>
        </w:tc>
      </w:tr>
      <w:tr w:rsidTr="00AA55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F4B">
            <w:pPr>
              <w:pStyle w:val="BodyText"/>
              <w:rPr>
                <w:lang w:val="en-NZ"/>
              </w:rPr>
            </w:pPr>
            <w:r w:rsidRPr="005B4F4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F4B" w:rsidP="005B4F4B">
            <w:pPr>
              <w:pStyle w:val="BodyText"/>
            </w:pPr>
            <w:r w:rsidRPr="005B4F4B">
              <w:t xml:space="preserve">This version was released in </w:t>
            </w:r>
            <w:r w:rsidRPr="005B4F4B">
              <w:rPr>
                <w:rStyle w:val="Emphasis"/>
              </w:rPr>
              <w:t>HLT Health Training Package release 3.0</w:t>
            </w:r>
            <w:r w:rsidRPr="005B4F4B">
              <w:t xml:space="preserve"> and meets the requirements of the 2012 Standards for Training Packages.</w:t>
            </w:r>
          </w:p>
          <w:p w:rsidR="00000000" w:rsidRPr="005B4F4B" w:rsidP="005B4F4B">
            <w:pPr>
              <w:pStyle w:val="BodyText"/>
            </w:pPr>
            <w:r w:rsidRPr="005B4F4B">
              <w:t>Merged HLTDT512D/HLTDT513C</w:t>
            </w:r>
          </w:p>
          <w:p w:rsidR="00000000" w:rsidRPr="005B4F4B" w:rsidP="005B4F4B">
            <w:pPr>
              <w:pStyle w:val="BodyText"/>
            </w:pPr>
            <w:r w:rsidRPr="005B4F4B">
              <w:t xml:space="preserve">Significant changes to the elements and performance criteria. New evidence requirements for assessment including volume and frequency requirements. Removal </w:t>
            </w:r>
            <w:r w:rsidRPr="005B4F4B">
              <w:t>of pre-requisites</w:t>
            </w:r>
          </w:p>
        </w:tc>
      </w:tr>
    </w:tbl>
    <w:p w:rsidR="00AA55C2" w:rsidP="005B4F4B">
      <w:pPr>
        <w:pStyle w:val="BodyText"/>
      </w:pPr>
    </w:p>
    <w:p w:rsidR="00AA55C2" w:rsidP="005B4F4B">
      <w:pPr>
        <w:pStyle w:val="BodyText"/>
      </w:pPr>
    </w:p>
    <w:p w:rsidR="00000000" w:rsidRPr="005B4F4B" w:rsidP="005B4F4B">
      <w:pPr>
        <w:pStyle w:val="Heading1"/>
      </w:pPr>
      <w:bookmarkStart w:id="2" w:name="O_820046"/>
      <w:bookmarkEnd w:id="2"/>
      <w:r w:rsidRPr="005B4F4B">
        <w:t>Performance Evidence</w:t>
      </w:r>
    </w:p>
    <w:p w:rsidR="00000000" w:rsidRPr="005B4F4B" w:rsidP="00AA55C2">
      <w:pPr>
        <w:pStyle w:val="BodyText"/>
      </w:pPr>
      <w:r w:rsidRPr="005B4F4B">
        <w:t>The candidate must show evidence of the ability to complete tasks outlined in elements and performance criteria of this unit, manage tasks and manage contingencies in the context of the job role. T</w:t>
      </w:r>
      <w:r w:rsidRPr="005B4F4B">
        <w:t>here must be evidence that the candidate has:</w:t>
      </w:r>
    </w:p>
    <w:p w:rsidR="00000000" w:rsidRPr="005B4F4B" w:rsidP="005B4F4B">
      <w:pPr>
        <w:pStyle w:val="List"/>
      </w:pPr>
      <w:r w:rsidRPr="005B4F4B">
        <w:t>•</w:t>
      </w:r>
      <w:r w:rsidRPr="005B4F4B">
        <w:tab/>
        <w:t>read and correctly interpreted work order for the following 4 fixed restorations</w:t>
      </w:r>
    </w:p>
    <w:p w:rsidR="00000000" w:rsidRPr="005B4F4B" w:rsidP="005B4F4B">
      <w:pPr>
        <w:pStyle w:val="List"/>
      </w:pPr>
      <w:r w:rsidRPr="005B4F4B">
        <w:t>•</w:t>
      </w:r>
      <w:r w:rsidRPr="005B4F4B">
        <w:tab/>
        <w:t>fabricated the following 4 ceramic restorations using standard precautions and safe work practices to a standard that is suit</w:t>
      </w:r>
      <w:r w:rsidRPr="005B4F4B">
        <w:t xml:space="preserve">able for insertion in the mouth: </w:t>
      </w:r>
    </w:p>
    <w:p w:rsidR="00000000" w:rsidRPr="005B4F4B" w:rsidP="005B4F4B">
      <w:pPr>
        <w:pStyle w:val="List2"/>
      </w:pPr>
      <w:r>
        <w:t>•</w:t>
      </w:r>
      <w:r>
        <w:tab/>
      </w:r>
      <w:r w:rsidRPr="005B4F4B">
        <w:t>1 maxillary or mandibular anterior crown</w:t>
      </w:r>
    </w:p>
    <w:p w:rsidR="00000000" w:rsidRPr="005B4F4B" w:rsidP="005B4F4B">
      <w:pPr>
        <w:pStyle w:val="List2"/>
      </w:pPr>
      <w:r>
        <w:t>•</w:t>
      </w:r>
      <w:r>
        <w:tab/>
      </w:r>
      <w:r w:rsidRPr="005B4F4B">
        <w:t xml:space="preserve">1 maxillary or mandibular posterior crown </w:t>
      </w:r>
    </w:p>
    <w:p w:rsidR="00000000" w:rsidRPr="005B4F4B" w:rsidP="005B4F4B">
      <w:pPr>
        <w:pStyle w:val="List2"/>
      </w:pPr>
      <w:r>
        <w:t>•</w:t>
      </w:r>
      <w:r>
        <w:tab/>
      </w:r>
      <w:r w:rsidRPr="005B4F4B">
        <w:t xml:space="preserve">1 anterior veneer </w:t>
      </w:r>
    </w:p>
    <w:p w:rsidR="00000000" w:rsidRPr="005B4F4B" w:rsidP="005B4F4B">
      <w:pPr>
        <w:pStyle w:val="List2"/>
      </w:pPr>
      <w:r>
        <w:t>•</w:t>
      </w:r>
      <w:r>
        <w:tab/>
      </w:r>
      <w:r w:rsidRPr="005B4F4B">
        <w:t>1 posterior inlay</w:t>
      </w:r>
    </w:p>
    <w:p w:rsidR="00000000" w:rsidRPr="005B4F4B" w:rsidP="005B4F4B">
      <w:pPr>
        <w:pStyle w:val="List"/>
      </w:pPr>
      <w:r w:rsidRPr="005B4F4B">
        <w:t>•</w:t>
      </w:r>
      <w:r w:rsidRPr="005B4F4B">
        <w:tab/>
      </w:r>
      <w:r w:rsidRPr="005B4F4B">
        <w:t>critically evaluated the work produced to meet technical laboratory and patient requirements including:</w:t>
      </w:r>
    </w:p>
    <w:p w:rsidR="00000000" w:rsidRPr="005B4F4B" w:rsidP="005B4F4B">
      <w:pPr>
        <w:pStyle w:val="List2"/>
      </w:pPr>
      <w:r>
        <w:t>•</w:t>
      </w:r>
      <w:r>
        <w:tab/>
      </w:r>
      <w:r w:rsidRPr="005B4F4B">
        <w:t>shade of the ceramic matches the work order requirements</w:t>
      </w:r>
    </w:p>
    <w:p w:rsidR="00000000" w:rsidRPr="005B4F4B" w:rsidP="005B4F4B">
      <w:pPr>
        <w:pStyle w:val="List2"/>
      </w:pPr>
      <w:r>
        <w:t>•</w:t>
      </w:r>
      <w:r>
        <w:tab/>
      </w:r>
      <w:r w:rsidRPr="005B4F4B">
        <w:t>fit of the restoration is accurate</w:t>
      </w:r>
    </w:p>
    <w:p w:rsidR="00000000" w:rsidRPr="005B4F4B" w:rsidP="005B4F4B">
      <w:pPr>
        <w:pStyle w:val="List2"/>
      </w:pPr>
      <w:r>
        <w:t>•</w:t>
      </w:r>
      <w:r>
        <w:tab/>
      </w:r>
      <w:r w:rsidRPr="005B4F4B">
        <w:t>restoration is of an appropriate anatomical form, shap</w:t>
      </w:r>
      <w:r w:rsidRPr="005B4F4B">
        <w:t>e and surface finish</w:t>
      </w:r>
    </w:p>
    <w:p w:rsidR="00000000" w:rsidRPr="005B4F4B" w:rsidP="005B4F4B">
      <w:pPr>
        <w:pStyle w:val="List2"/>
      </w:pPr>
      <w:r>
        <w:t>•</w:t>
      </w:r>
      <w:r>
        <w:tab/>
      </w:r>
      <w:r w:rsidRPr="005B4F4B">
        <w:t>restoration is free of faults</w:t>
      </w:r>
    </w:p>
    <w:p w:rsidR="00000000" w:rsidRPr="005B4F4B" w:rsidP="005B4F4B">
      <w:pPr>
        <w:pStyle w:val="List2"/>
      </w:pPr>
      <w:r>
        <w:t>•</w:t>
      </w:r>
      <w:r>
        <w:tab/>
      </w:r>
      <w:r w:rsidRPr="005B4F4B">
        <w:t>restoration provides the correct occlusion and articulation</w:t>
      </w:r>
    </w:p>
    <w:p w:rsidR="00000000" w:rsidRPr="005B4F4B" w:rsidP="005B4F4B">
      <w:pPr>
        <w:pStyle w:val="List2"/>
      </w:pPr>
      <w:r>
        <w:t>•</w:t>
      </w:r>
      <w:r>
        <w:tab/>
      </w:r>
      <w:r w:rsidRPr="005B4F4B">
        <w:t>proximal contact areas are in contact with the contact areas of the adjacent teeth.</w:t>
      </w:r>
    </w:p>
    <w:p w:rsidR="00000000" w:rsidRPr="005B4F4B" w:rsidP="005B4F4B">
      <w:pPr>
        <w:pStyle w:val="AllowPageBreak"/>
      </w:pPr>
    </w:p>
    <w:p w:rsidR="00000000" w:rsidRPr="005B4F4B" w:rsidP="005B4F4B">
      <w:pPr>
        <w:pStyle w:val="Heading1"/>
      </w:pPr>
      <w:bookmarkStart w:id="3" w:name="O_820047"/>
      <w:bookmarkEnd w:id="3"/>
      <w:r w:rsidRPr="005B4F4B">
        <w:t>Knowledge Evidence</w:t>
      </w:r>
    </w:p>
    <w:p w:rsidR="00000000" w:rsidRPr="005B4F4B" w:rsidP="00AA55C2">
      <w:pPr>
        <w:pStyle w:val="BodyText"/>
      </w:pPr>
      <w:r w:rsidRPr="005B4F4B">
        <w:t xml:space="preserve">The candidate must </w:t>
      </w:r>
      <w:r w:rsidRPr="005B4F4B">
        <w:t xml:space="preserve">be able to demonstrate essential knowledge required to effectively complete tasks outlined in elements and performance criteria of this unit, manage tasks and manage contingencies in the context of the work role. This includes knowledge of: </w:t>
      </w:r>
    </w:p>
    <w:p w:rsidR="00000000" w:rsidRPr="005B4F4B" w:rsidP="005B4F4B">
      <w:pPr>
        <w:pStyle w:val="List"/>
      </w:pPr>
      <w:r w:rsidRPr="005B4F4B">
        <w:t>•</w:t>
      </w:r>
      <w:r w:rsidRPr="005B4F4B">
        <w:tab/>
        <w:t>Australian/N</w:t>
      </w:r>
      <w:r w:rsidRPr="005B4F4B">
        <w:t xml:space="preserve">ew Zealand Standards, workplace health and safety (WHS) policies, Dental Board of Australia guidelines on infection control, Commonwealth and State/Territory legislation and organisation policies relating to dental laboratory work </w:t>
      </w:r>
    </w:p>
    <w:p w:rsidR="00000000" w:rsidRPr="005B4F4B" w:rsidP="005B4F4B">
      <w:pPr>
        <w:pStyle w:val="List"/>
      </w:pPr>
      <w:r w:rsidRPr="005B4F4B">
        <w:t>•</w:t>
      </w:r>
      <w:r w:rsidRPr="005B4F4B">
        <w:tab/>
        <w:t>fundamental oral anato</w:t>
      </w:r>
      <w:r w:rsidRPr="005B4F4B">
        <w:t>my including:</w:t>
      </w:r>
    </w:p>
    <w:p w:rsidR="00000000" w:rsidRPr="005B4F4B" w:rsidP="005B4F4B">
      <w:pPr>
        <w:pStyle w:val="List2"/>
      </w:pPr>
      <w:r>
        <w:t>•</w:t>
      </w:r>
      <w:r>
        <w:tab/>
      </w:r>
      <w:r w:rsidRPr="005B4F4B">
        <w:t>dentition – arrangement of the teeth, naming and coding of teeth</w:t>
      </w:r>
    </w:p>
    <w:p w:rsidR="00000000" w:rsidRPr="005B4F4B" w:rsidP="005B4F4B">
      <w:pPr>
        <w:pStyle w:val="List2"/>
      </w:pPr>
      <w:r>
        <w:t>•</w:t>
      </w:r>
      <w:r>
        <w:tab/>
      </w:r>
      <w:r w:rsidRPr="005B4F4B">
        <w:t>structures of the oral cavity related to crown and bridge structures</w:t>
      </w:r>
    </w:p>
    <w:p w:rsidR="00000000" w:rsidRPr="005B4F4B" w:rsidP="005B4F4B">
      <w:pPr>
        <w:pStyle w:val="List2"/>
      </w:pPr>
      <w:r>
        <w:t>•</w:t>
      </w:r>
      <w:r>
        <w:tab/>
      </w:r>
      <w:r w:rsidRPr="005B4F4B">
        <w:t>teeth form and function</w:t>
      </w:r>
    </w:p>
    <w:p w:rsidR="00000000" w:rsidRPr="005B4F4B" w:rsidP="005B4F4B">
      <w:pPr>
        <w:pStyle w:val="List2"/>
      </w:pPr>
      <w:r>
        <w:t>•</w:t>
      </w:r>
      <w:r>
        <w:tab/>
      </w:r>
      <w:r w:rsidRPr="005B4F4B">
        <w:t>occlusion</w:t>
      </w:r>
    </w:p>
    <w:p w:rsidR="00000000" w:rsidRPr="005B4F4B" w:rsidP="005B4F4B">
      <w:pPr>
        <w:pStyle w:val="List"/>
      </w:pPr>
      <w:r w:rsidRPr="005B4F4B">
        <w:t>•</w:t>
      </w:r>
      <w:r w:rsidRPr="005B4F4B">
        <w:tab/>
        <w:t>tooth preparation including basic cementation techniques of rest</w:t>
      </w:r>
      <w:r w:rsidRPr="005B4F4B">
        <w:t>orations</w:t>
      </w:r>
    </w:p>
    <w:p w:rsidR="00000000" w:rsidRPr="005B4F4B" w:rsidP="005B4F4B">
      <w:pPr>
        <w:pStyle w:val="List"/>
      </w:pPr>
      <w:r w:rsidRPr="005B4F4B">
        <w:t>•</w:t>
      </w:r>
      <w:r w:rsidRPr="005B4F4B">
        <w:tab/>
        <w:t xml:space="preserve">dental ceramic restorations </w:t>
      </w:r>
    </w:p>
    <w:p w:rsidR="00000000" w:rsidRPr="005B4F4B" w:rsidP="005B4F4B">
      <w:pPr>
        <w:pStyle w:val="List"/>
      </w:pPr>
      <w:r w:rsidRPr="005B4F4B">
        <w:t>•</w:t>
      </w:r>
      <w:r w:rsidRPr="005B4F4B">
        <w:tab/>
        <w:t xml:space="preserve">properties of different restoration and substructure materials </w:t>
      </w:r>
    </w:p>
    <w:p w:rsidR="00000000" w:rsidRPr="005B4F4B" w:rsidP="005B4F4B">
      <w:pPr>
        <w:pStyle w:val="List"/>
      </w:pPr>
      <w:r w:rsidRPr="005B4F4B">
        <w:t>•</w:t>
      </w:r>
      <w:r w:rsidRPr="005B4F4B">
        <w:tab/>
        <w:t>ceramic bonding to substructures</w:t>
      </w:r>
    </w:p>
    <w:p w:rsidR="00000000" w:rsidRPr="005B4F4B" w:rsidP="005B4F4B">
      <w:pPr>
        <w:pStyle w:val="List"/>
      </w:pPr>
      <w:r w:rsidRPr="005B4F4B">
        <w:t>•</w:t>
      </w:r>
      <w:r w:rsidRPr="005B4F4B">
        <w:tab/>
        <w:t>composition and properties of dental ceramics</w:t>
      </w:r>
    </w:p>
    <w:p w:rsidR="00000000" w:rsidRPr="005B4F4B" w:rsidP="005B4F4B">
      <w:pPr>
        <w:pStyle w:val="List"/>
      </w:pPr>
      <w:r w:rsidRPr="005B4F4B">
        <w:t>•</w:t>
      </w:r>
      <w:r w:rsidRPr="005B4F4B">
        <w:tab/>
        <w:t>processing ceramic restorations</w:t>
      </w:r>
    </w:p>
    <w:p w:rsidR="00000000" w:rsidRPr="005B4F4B" w:rsidP="005B4F4B">
      <w:pPr>
        <w:pStyle w:val="List"/>
      </w:pPr>
      <w:r w:rsidRPr="005B4F4B">
        <w:t>•</w:t>
      </w:r>
      <w:r w:rsidRPr="005B4F4B">
        <w:tab/>
        <w:t xml:space="preserve">causes of common faults during </w:t>
      </w:r>
      <w:r w:rsidRPr="005B4F4B">
        <w:t>construction</w:t>
      </w:r>
    </w:p>
    <w:p w:rsidR="00000000" w:rsidRPr="005B4F4B" w:rsidP="005B4F4B">
      <w:pPr>
        <w:pStyle w:val="List"/>
      </w:pPr>
      <w:r w:rsidRPr="005B4F4B">
        <w:t>•</w:t>
      </w:r>
      <w:r w:rsidRPr="005B4F4B">
        <w:tab/>
        <w:t>critical issues and techniques for taking tooth shades including:</w:t>
      </w:r>
    </w:p>
    <w:p w:rsidR="00000000" w:rsidRPr="005B4F4B" w:rsidP="005B4F4B">
      <w:pPr>
        <w:pStyle w:val="List2"/>
      </w:pPr>
      <w:r>
        <w:t>•</w:t>
      </w:r>
      <w:r>
        <w:tab/>
      </w:r>
      <w:r w:rsidRPr="005B4F4B">
        <w:t>effects of aging, tooth wear and staining on shade</w:t>
      </w:r>
    </w:p>
    <w:p w:rsidR="00000000" w:rsidRPr="005B4F4B" w:rsidP="005B4F4B">
      <w:pPr>
        <w:pStyle w:val="List2"/>
      </w:pPr>
      <w:r>
        <w:t>•</w:t>
      </w:r>
      <w:r>
        <w:tab/>
      </w:r>
      <w:r w:rsidRPr="005B4F4B">
        <w:t>colour</w:t>
      </w:r>
    </w:p>
    <w:p w:rsidR="00000000" w:rsidRPr="005B4F4B" w:rsidP="005B4F4B">
      <w:pPr>
        <w:pStyle w:val="List2"/>
      </w:pPr>
      <w:r>
        <w:t>•</w:t>
      </w:r>
      <w:r>
        <w:tab/>
      </w:r>
      <w:r w:rsidRPr="005B4F4B">
        <w:t>rationale and objectives for taking shades</w:t>
      </w:r>
    </w:p>
    <w:p w:rsidR="00000000" w:rsidRPr="005B4F4B" w:rsidP="005B4F4B">
      <w:pPr>
        <w:pStyle w:val="List"/>
      </w:pPr>
      <w:r w:rsidRPr="005B4F4B">
        <w:t>•</w:t>
      </w:r>
      <w:r w:rsidRPr="005B4F4B">
        <w:tab/>
      </w:r>
      <w:r w:rsidRPr="005B4F4B">
        <w:t>social, cultural and psychological factors affecting patient perception and acceptance of tooth shade</w:t>
      </w:r>
    </w:p>
    <w:p w:rsidR="00000000" w:rsidRPr="005B4F4B" w:rsidP="005B4F4B">
      <w:pPr>
        <w:pStyle w:val="List"/>
      </w:pPr>
      <w:r w:rsidRPr="005B4F4B">
        <w:t>•</w:t>
      </w:r>
      <w:r w:rsidRPr="005B4F4B">
        <w:tab/>
        <w:t xml:space="preserve">factors which influence selection of tooth shades </w:t>
      </w:r>
    </w:p>
    <w:p w:rsidR="00000000" w:rsidRPr="005B4F4B" w:rsidP="005B4F4B">
      <w:pPr>
        <w:pStyle w:val="List"/>
      </w:pPr>
      <w:r w:rsidRPr="005B4F4B">
        <w:t>•</w:t>
      </w:r>
      <w:r w:rsidRPr="005B4F4B">
        <w:tab/>
        <w:t>physics of light refraction including properties of materials used in aesthetic restoration</w:t>
      </w:r>
    </w:p>
    <w:p w:rsidR="00000000" w:rsidRPr="005B4F4B" w:rsidP="005B4F4B">
      <w:pPr>
        <w:pStyle w:val="AllowPageBreak"/>
      </w:pPr>
    </w:p>
    <w:p w:rsidR="00000000" w:rsidRPr="005B4F4B" w:rsidP="005B4F4B">
      <w:pPr>
        <w:pStyle w:val="Heading1"/>
      </w:pPr>
      <w:bookmarkStart w:id="4" w:name="O_820048"/>
      <w:bookmarkEnd w:id="4"/>
      <w:r w:rsidRPr="005B4F4B">
        <w:t>Assessment Conditions</w:t>
      </w:r>
    </w:p>
    <w:p w:rsidR="00000000" w:rsidRPr="005B4F4B" w:rsidP="00AA55C2">
      <w:pPr>
        <w:pStyle w:val="BodyText"/>
      </w:pPr>
      <w:r w:rsidRPr="005B4F4B">
        <w:t xml:space="preserve">Skills must have been demonstrated in a dental laboratory workplace or in a simulated dental laboratory environment that reflects workplace laboratory conditions. The following conditions must be met for this unit: </w:t>
      </w:r>
    </w:p>
    <w:p w:rsidR="00000000" w:rsidRPr="005B4F4B" w:rsidP="005B4F4B">
      <w:pPr>
        <w:pStyle w:val="List"/>
      </w:pPr>
      <w:r w:rsidRPr="005B4F4B">
        <w:t>•</w:t>
      </w:r>
      <w:r w:rsidRPr="005B4F4B">
        <w:tab/>
        <w:t>use of</w:t>
      </w:r>
      <w:r w:rsidRPr="005B4F4B">
        <w:t xml:space="preserve"> suitable facilities, equipment and resources, including:</w:t>
      </w:r>
    </w:p>
    <w:p w:rsidR="00000000" w:rsidRPr="005B4F4B" w:rsidP="005B4F4B">
      <w:pPr>
        <w:pStyle w:val="List2"/>
      </w:pPr>
      <w:r>
        <w:t>•</w:t>
      </w:r>
      <w:r>
        <w:tab/>
      </w:r>
      <w:r w:rsidRPr="005B4F4B">
        <w:t xml:space="preserve">access to work order </w:t>
      </w:r>
    </w:p>
    <w:p w:rsidR="00000000" w:rsidRPr="005B4F4B" w:rsidP="005B4F4B">
      <w:pPr>
        <w:pStyle w:val="List2"/>
      </w:pPr>
      <w:r>
        <w:t>•</w:t>
      </w:r>
      <w:r>
        <w:tab/>
      </w:r>
      <w:r w:rsidRPr="005B4F4B">
        <w:t>Dental Board of Australia guidelines on infection control on which the candidate bases the planning process</w:t>
      </w:r>
    </w:p>
    <w:p w:rsidR="00000000" w:rsidRPr="005B4F4B" w:rsidP="005B4F4B">
      <w:pPr>
        <w:pStyle w:val="List2"/>
      </w:pPr>
      <w:r>
        <w:t>•</w:t>
      </w:r>
      <w:r>
        <w:tab/>
      </w:r>
      <w:r w:rsidRPr="005B4F4B">
        <w:t>laboratory safety manuals and procedures in line with relevant</w:t>
      </w:r>
      <w:r w:rsidRPr="005B4F4B">
        <w:t xml:space="preserve"> Commonwealth and State/Territory legislation </w:t>
      </w:r>
    </w:p>
    <w:p w:rsidR="00000000" w:rsidRPr="005B4F4B" w:rsidP="005B4F4B">
      <w:pPr>
        <w:pStyle w:val="List2"/>
      </w:pPr>
      <w:r>
        <w:t>•</w:t>
      </w:r>
      <w:r>
        <w:tab/>
      </w:r>
      <w:r w:rsidRPr="005B4F4B">
        <w:t>WHS policies on which the candidate bases the planning process.</w:t>
      </w:r>
    </w:p>
    <w:p w:rsidR="00000000" w:rsidRPr="005B4F4B" w:rsidP="005B4F4B">
      <w:pPr>
        <w:pStyle w:val="BodyText"/>
      </w:pPr>
    </w:p>
    <w:p w:rsidR="00AA55C2" w:rsidP="00AA55C2">
      <w:pPr>
        <w:pStyle w:val="BodyText"/>
      </w:pPr>
      <w:r w:rsidRPr="005B4F4B">
        <w:t>Assessors must satisfy the Standards for Registered Training Organisations (RTOs) 2015/AQTF mandatory competency requirements for assessors.</w:t>
      </w:r>
    </w:p>
    <w:p w:rsidR="00000000" w:rsidRPr="005B4F4B" w:rsidP="005B4F4B">
      <w:pPr>
        <w:pStyle w:val="Heading1"/>
      </w:pPr>
      <w:bookmarkStart w:id="5" w:name="O_820051"/>
      <w:bookmarkEnd w:id="5"/>
      <w:r w:rsidRPr="005B4F4B">
        <w:t>Links</w:t>
      </w:r>
    </w:p>
    <w:p w:rsidR="00000000" w:rsidRPr="005B4F4B" w:rsidP="00AA55C2">
      <w:pPr>
        <w:pStyle w:val="BodyText"/>
      </w:pPr>
      <w:r w:rsidRPr="005B4F4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F1B3E">
        <w:rPr>
          <w:rStyle w:val="Hyperlink"/>
        </w:rPr>
        <w:t>https://vetnet.gov.au/Pages/TrainingDocs.aspx?q=ced1390f-48d9-4ab0-bd50-b015e5485705</w:t>
      </w:r>
      <w:r>
        <w:fldChar w:fldCharType="end"/>
      </w:r>
    </w:p>
    <w:p w:rsidR="00000000" w:rsidRPr="005B4F4B" w:rsidP="005B4F4B"/>
    <w:sectPr w:rsidSect="005B4F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F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F4B" w:rsidRPr="00AA55C2" w:rsidP="00AA55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F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5C2" w:rsidP="005B4F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55C2" w:rsidP="005B4F4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A55C2" w:rsidP="005B4F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F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5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F4B" w:rsidRPr="00AA55C2" w:rsidP="00AA55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F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5C2" w:rsidRPr="002D2AF8" w:rsidP="005B4F4B">
    <w:pPr>
      <w:pStyle w:val="Header"/>
      <w:framePr w:wrap="around"/>
    </w:pPr>
    <w:r>
      <w:fldChar w:fldCharType="begin"/>
    </w:r>
    <w:r>
      <w:instrText xml:space="preserve"> TITLE   \* MERGEFORMAT </w:instrText>
    </w:r>
    <w:r>
      <w:fldChar w:fldCharType="separate"/>
    </w:r>
    <w:r>
      <w:t>Assessment Requirements for HLTDET011 Construct ceramic and fixed restorations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A55C2" w:rsidP="005B4F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F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F4B"/>
    <w:pPr>
      <w:spacing w:before="360" w:after="60"/>
      <w:outlineLvl w:val="0"/>
    </w:pPr>
    <w:rPr>
      <w:sz w:val="32"/>
    </w:rPr>
  </w:style>
  <w:style w:type="paragraph" w:styleId="Heading2">
    <w:name w:val="heading 2"/>
    <w:basedOn w:val="HeadingBase"/>
    <w:next w:val="BodyText"/>
    <w:link w:val="Heading2Char"/>
    <w:qFormat/>
    <w:rsid w:val="005B4F4B"/>
    <w:pPr>
      <w:keepLines/>
      <w:spacing w:before="240" w:after="120"/>
      <w:outlineLvl w:val="1"/>
    </w:pPr>
    <w:rPr>
      <w:sz w:val="28"/>
      <w:szCs w:val="40"/>
    </w:rPr>
  </w:style>
  <w:style w:type="paragraph" w:styleId="Heading3">
    <w:name w:val="heading 3"/>
    <w:basedOn w:val="HeadingBase"/>
    <w:next w:val="BodyText"/>
    <w:link w:val="Heading3Char"/>
    <w:qFormat/>
    <w:rsid w:val="005B4F4B"/>
    <w:pPr>
      <w:spacing w:before="180" w:after="120"/>
      <w:outlineLvl w:val="2"/>
    </w:pPr>
    <w:rPr>
      <w:spacing w:val="-10"/>
      <w:kern w:val="32"/>
    </w:rPr>
  </w:style>
  <w:style w:type="paragraph" w:styleId="Heading4">
    <w:name w:val="heading 4"/>
    <w:basedOn w:val="HeadingBase"/>
    <w:next w:val="BodyText"/>
    <w:link w:val="Heading4Char"/>
    <w:qFormat/>
    <w:rsid w:val="005B4F4B"/>
    <w:pPr>
      <w:spacing w:before="160" w:after="120"/>
      <w:outlineLvl w:val="3"/>
    </w:pPr>
    <w:rPr>
      <w:sz w:val="22"/>
    </w:rPr>
  </w:style>
  <w:style w:type="paragraph" w:styleId="Heading5">
    <w:name w:val="heading 5"/>
    <w:basedOn w:val="HeadingBase"/>
    <w:next w:val="Normal"/>
    <w:link w:val="Heading5Char"/>
    <w:qFormat/>
    <w:rsid w:val="005B4F4B"/>
    <w:pPr>
      <w:spacing w:before="80"/>
      <w:outlineLvl w:val="4"/>
    </w:pPr>
    <w:rPr>
      <w:color w:val="918585"/>
      <w:sz w:val="20"/>
    </w:rPr>
  </w:style>
  <w:style w:type="paragraph" w:styleId="Heading6">
    <w:name w:val="heading 6"/>
    <w:basedOn w:val="HeadingBase"/>
    <w:next w:val="Normal"/>
    <w:link w:val="Heading6Char"/>
    <w:qFormat/>
    <w:rsid w:val="005B4F4B"/>
    <w:pPr>
      <w:spacing w:before="60"/>
      <w:outlineLvl w:val="5"/>
    </w:pPr>
    <w:rPr>
      <w:color w:val="918585"/>
      <w:sz w:val="20"/>
    </w:rPr>
  </w:style>
  <w:style w:type="paragraph" w:styleId="Heading7">
    <w:name w:val="heading 7"/>
    <w:basedOn w:val="Normal"/>
    <w:next w:val="Normal"/>
    <w:link w:val="Heading7Char"/>
    <w:qFormat/>
    <w:rsid w:val="005B4F4B"/>
    <w:pPr>
      <w:ind w:left="720"/>
      <w:outlineLvl w:val="6"/>
    </w:pPr>
    <w:rPr>
      <w:i/>
    </w:rPr>
  </w:style>
  <w:style w:type="paragraph" w:styleId="Heading8">
    <w:name w:val="heading 8"/>
    <w:basedOn w:val="Normal"/>
    <w:next w:val="Normal"/>
    <w:link w:val="Heading8Char"/>
    <w:qFormat/>
    <w:rsid w:val="005B4F4B"/>
    <w:pPr>
      <w:ind w:left="720"/>
      <w:outlineLvl w:val="7"/>
    </w:pPr>
    <w:rPr>
      <w:i/>
    </w:rPr>
  </w:style>
  <w:style w:type="paragraph" w:styleId="Heading9">
    <w:name w:val="heading 9"/>
    <w:basedOn w:val="Normal"/>
    <w:next w:val="Normal"/>
    <w:link w:val="Heading9Char"/>
    <w:qFormat/>
    <w:rsid w:val="005B4F4B"/>
    <w:pPr>
      <w:ind w:left="720"/>
      <w:outlineLvl w:val="8"/>
    </w:pPr>
    <w:rPr>
      <w:i/>
    </w:rPr>
  </w:style>
  <w:style w:type="character" w:default="1" w:styleId="DefaultParagraphFont">
    <w:name w:val="Default Paragraph Font"/>
    <w:uiPriority w:val="1"/>
    <w:unhideWhenUsed/>
    <w:rsid w:val="005B4F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F4B"/>
  </w:style>
  <w:style w:type="character" w:customStyle="1" w:styleId="Heading1Char">
    <w:name w:val="Heading 1 Char"/>
    <w:basedOn w:val="DefaultParagraphFont"/>
    <w:link w:val="Heading1"/>
    <w:rsid w:val="005B4F4B"/>
    <w:rPr>
      <w:rFonts w:ascii="Times New Roman" w:eastAsia="Times New Roman" w:hAnsi="Times New Roman" w:cs="Times New Roman"/>
      <w:b/>
      <w:sz w:val="32"/>
      <w:szCs w:val="20"/>
      <w:lang w:eastAsia="en-US"/>
    </w:rPr>
  </w:style>
  <w:style w:type="paragraph" w:styleId="BodyText">
    <w:name w:val="Body Text"/>
    <w:basedOn w:val="Normal"/>
    <w:link w:val="BodyTextChar"/>
    <w:rsid w:val="005B4F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F4B"/>
    <w:rPr>
      <w:rFonts w:ascii="Times New Roman" w:eastAsia="Times New Roman" w:hAnsi="Times New Roman" w:cs="Times New Roman"/>
      <w:sz w:val="24"/>
      <w:lang w:eastAsia="en-US"/>
    </w:rPr>
  </w:style>
  <w:style w:type="paragraph" w:styleId="List">
    <w:name w:val="List"/>
    <w:basedOn w:val="BodyText"/>
    <w:next w:val="BodyText"/>
    <w:rsid w:val="005B4F4B"/>
    <w:pPr>
      <w:tabs>
        <w:tab w:val="left" w:pos="340"/>
      </w:tabs>
      <w:spacing w:before="60" w:after="60"/>
      <w:ind w:left="340" w:hanging="340"/>
    </w:pPr>
  </w:style>
  <w:style w:type="character" w:styleId="Emphasis">
    <w:name w:val="Emphasis"/>
    <w:basedOn w:val="DefaultParagraphFont"/>
    <w:qFormat/>
    <w:rsid w:val="005B4F4B"/>
    <w:rPr>
      <w:i/>
    </w:rPr>
  </w:style>
  <w:style w:type="paragraph" w:customStyle="1" w:styleId="SuperHeading">
    <w:name w:val="SuperHeading"/>
    <w:basedOn w:val="Normal"/>
    <w:rsid w:val="005B4F4B"/>
    <w:pPr>
      <w:spacing w:before="240" w:after="120"/>
      <w:outlineLvl w:val="0"/>
    </w:pPr>
    <w:rPr>
      <w:rFonts w:ascii="Times New Roman" w:hAnsi="Times New Roman"/>
      <w:b/>
      <w:sz w:val="32"/>
    </w:rPr>
  </w:style>
  <w:style w:type="paragraph" w:customStyle="1" w:styleId="AllowPageBreak">
    <w:name w:val="AllowPageBreak"/>
    <w:rsid w:val="005B4F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4F4B"/>
    <w:pPr>
      <w:tabs>
        <w:tab w:val="left" w:pos="680"/>
      </w:tabs>
      <w:spacing w:before="60" w:after="60"/>
      <w:ind w:left="680" w:hanging="340"/>
    </w:pPr>
  </w:style>
  <w:style w:type="character" w:customStyle="1" w:styleId="Heading2Char">
    <w:name w:val="Heading 2 Char"/>
    <w:basedOn w:val="DefaultParagraphFont"/>
    <w:link w:val="Heading2"/>
    <w:rsid w:val="005B4F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F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F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F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F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F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F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F4B"/>
    <w:rPr>
      <w:rFonts w:ascii="Courier New" w:eastAsia="Times New Roman" w:hAnsi="Courier New" w:cs="Times New Roman"/>
      <w:i/>
      <w:szCs w:val="20"/>
      <w:lang w:eastAsia="en-US"/>
    </w:rPr>
  </w:style>
  <w:style w:type="paragraph" w:customStyle="1" w:styleId="HeadingBase">
    <w:name w:val="Heading Base"/>
    <w:rsid w:val="005B4F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F4B"/>
    <w:pPr>
      <w:tabs>
        <w:tab w:val="right" w:leader="dot" w:pos="9072"/>
      </w:tabs>
      <w:ind w:left="567"/>
    </w:pPr>
    <w:rPr>
      <w:szCs w:val="22"/>
    </w:rPr>
  </w:style>
  <w:style w:type="paragraph" w:customStyle="1" w:styleId="TOCBase">
    <w:name w:val="TOC Base"/>
    <w:rsid w:val="005B4F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F4B"/>
    <w:pPr>
      <w:tabs>
        <w:tab w:val="right" w:leader="dot" w:pos="9072"/>
      </w:tabs>
      <w:spacing w:before="40" w:after="40"/>
      <w:ind w:left="284"/>
    </w:pPr>
    <w:rPr>
      <w:rFonts w:ascii="Times New Roman" w:hAnsi="Times New Roman"/>
    </w:rPr>
  </w:style>
  <w:style w:type="paragraph" w:styleId="TOC1">
    <w:name w:val="toc 1"/>
    <w:basedOn w:val="TOCBase"/>
    <w:next w:val="Normal"/>
    <w:rsid w:val="005B4F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F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F4B"/>
    <w:rPr>
      <w:rFonts w:ascii="Times New Roman" w:eastAsia="Times New Roman" w:hAnsi="Times New Roman" w:cs="Times New Roman"/>
      <w:sz w:val="16"/>
      <w:lang w:eastAsia="en-US"/>
    </w:rPr>
  </w:style>
  <w:style w:type="paragraph" w:styleId="Title">
    <w:name w:val="Title"/>
    <w:basedOn w:val="HeadingBase"/>
    <w:link w:val="TitleChar"/>
    <w:qFormat/>
    <w:rsid w:val="005B4F4B"/>
    <w:pPr>
      <w:spacing w:before="5040"/>
      <w:jc w:val="center"/>
    </w:pPr>
    <w:rPr>
      <w:sz w:val="48"/>
      <w:szCs w:val="72"/>
      <w:lang w:val="en-US"/>
    </w:rPr>
  </w:style>
  <w:style w:type="character" w:customStyle="1" w:styleId="TitleChar">
    <w:name w:val="Title Char"/>
    <w:basedOn w:val="DefaultParagraphFont"/>
    <w:link w:val="Title"/>
    <w:rsid w:val="005B4F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F4B"/>
    <w:pPr>
      <w:tabs>
        <w:tab w:val="left" w:pos="3600"/>
        <w:tab w:val="left" w:pos="3958"/>
      </w:tabs>
    </w:pPr>
  </w:style>
  <w:style w:type="paragraph" w:styleId="ListBullet">
    <w:name w:val="List Bullet"/>
    <w:basedOn w:val="List"/>
    <w:rsid w:val="005B4F4B"/>
    <w:pPr>
      <w:numPr>
        <w:numId w:val="10"/>
      </w:numPr>
      <w:tabs>
        <w:tab w:val="clear" w:pos="340"/>
      </w:tabs>
      <w:spacing w:before="40" w:after="40"/>
    </w:pPr>
  </w:style>
  <w:style w:type="paragraph" w:customStyle="1" w:styleId="Note">
    <w:name w:val="Note"/>
    <w:basedOn w:val="BodyText"/>
    <w:rsid w:val="005B4F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4F4B"/>
    <w:rPr>
      <w:b/>
      <w:spacing w:val="0"/>
    </w:rPr>
  </w:style>
  <w:style w:type="paragraph" w:customStyle="1" w:styleId="SuperTitle">
    <w:name w:val="SuperTitle"/>
    <w:basedOn w:val="Title"/>
    <w:rsid w:val="005B4F4B"/>
    <w:pPr>
      <w:framePr w:wrap="auto" w:hAnchor="text" w:y="6049"/>
    </w:pPr>
    <w:rPr>
      <w:color w:val="000000"/>
      <w:sz w:val="40"/>
    </w:rPr>
  </w:style>
  <w:style w:type="paragraph" w:customStyle="1" w:styleId="TOCTitle">
    <w:name w:val="TOCTitle"/>
    <w:basedOn w:val="Heading1"/>
    <w:rsid w:val="005B4F4B"/>
    <w:pPr>
      <w:spacing w:after="240"/>
      <w:jc w:val="center"/>
      <w:outlineLvl w:val="9"/>
    </w:pPr>
    <w:rPr>
      <w:caps/>
    </w:rPr>
  </w:style>
  <w:style w:type="paragraph" w:customStyle="1" w:styleId="Version">
    <w:name w:val="Version"/>
    <w:rsid w:val="005B4F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4F4B"/>
    <w:pPr>
      <w:numPr>
        <w:numId w:val="11"/>
      </w:numPr>
      <w:tabs>
        <w:tab w:val="clear" w:pos="680"/>
      </w:tabs>
    </w:pPr>
  </w:style>
  <w:style w:type="paragraph" w:styleId="Index1">
    <w:name w:val="index 1"/>
    <w:basedOn w:val="Normal"/>
    <w:next w:val="Normal"/>
    <w:semiHidden/>
    <w:rsid w:val="005B4F4B"/>
    <w:pPr>
      <w:keepNext w:val="0"/>
      <w:tabs>
        <w:tab w:val="right" w:pos="4176"/>
      </w:tabs>
      <w:ind w:left="198" w:hanging="198"/>
    </w:pPr>
    <w:rPr>
      <w:rFonts w:ascii="Garamond" w:hAnsi="Garamond"/>
    </w:rPr>
  </w:style>
  <w:style w:type="paragraph" w:styleId="IndexHeading">
    <w:name w:val="index heading"/>
    <w:basedOn w:val="Normal"/>
    <w:next w:val="Index1"/>
    <w:semiHidden/>
    <w:rsid w:val="005B4F4B"/>
    <w:pPr>
      <w:spacing w:before="120" w:after="120"/>
    </w:pPr>
    <w:rPr>
      <w:rFonts w:ascii="Arial" w:hAnsi="Arial"/>
      <w:b/>
      <w:color w:val="918585"/>
      <w:sz w:val="24"/>
    </w:rPr>
  </w:style>
  <w:style w:type="paragraph" w:styleId="Header">
    <w:name w:val="header"/>
    <w:basedOn w:val="Normal"/>
    <w:link w:val="HeaderChar"/>
    <w:rsid w:val="005B4F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F4B"/>
    <w:rPr>
      <w:rFonts w:ascii="Times New Roman" w:eastAsia="Times New Roman" w:hAnsi="Times New Roman" w:cs="Times New Roman"/>
      <w:sz w:val="16"/>
      <w:szCs w:val="20"/>
      <w:lang w:val="en-GB" w:eastAsia="en-US"/>
    </w:rPr>
  </w:style>
  <w:style w:type="paragraph" w:customStyle="1" w:styleId="Chapter">
    <w:name w:val="Chapter"/>
    <w:basedOn w:val="Normal"/>
    <w:rsid w:val="005B4F4B"/>
    <w:pPr>
      <w:spacing w:before="240"/>
    </w:pPr>
    <w:rPr>
      <w:rFonts w:ascii="Times New Roman" w:hAnsi="Times New Roman"/>
      <w:smallCaps/>
      <w:spacing w:val="80"/>
      <w:sz w:val="28"/>
    </w:rPr>
  </w:style>
  <w:style w:type="paragraph" w:customStyle="1" w:styleId="InChapter">
    <w:name w:val="InChapter"/>
    <w:basedOn w:val="Heading3"/>
    <w:rsid w:val="005B4F4B"/>
    <w:pPr>
      <w:spacing w:after="240"/>
      <w:outlineLvl w:val="9"/>
    </w:pPr>
    <w:rPr>
      <w:noProof/>
    </w:rPr>
  </w:style>
  <w:style w:type="paragraph" w:styleId="Index2">
    <w:name w:val="index 2"/>
    <w:basedOn w:val="Normal"/>
    <w:next w:val="Normal"/>
    <w:semiHidden/>
    <w:rsid w:val="005B4F4B"/>
    <w:pPr>
      <w:tabs>
        <w:tab w:val="right" w:pos="4176"/>
      </w:tabs>
      <w:ind w:left="568" w:hanging="284"/>
    </w:pPr>
    <w:rPr>
      <w:rFonts w:ascii="Garamond" w:hAnsi="Garamond"/>
    </w:rPr>
  </w:style>
  <w:style w:type="paragraph" w:customStyle="1" w:styleId="Byline">
    <w:name w:val="Byline"/>
    <w:rsid w:val="005B4F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F4B"/>
    <w:pPr>
      <w:tabs>
        <w:tab w:val="clear" w:pos="3600"/>
        <w:tab w:val="clear" w:pos="3958"/>
      </w:tabs>
      <w:jc w:val="right"/>
    </w:pPr>
  </w:style>
  <w:style w:type="paragraph" w:styleId="Caption">
    <w:name w:val="caption"/>
    <w:basedOn w:val="BodyText"/>
    <w:next w:val="Normal"/>
    <w:qFormat/>
    <w:rsid w:val="005B4F4B"/>
    <w:pPr>
      <w:framePr w:w="2268" w:hSpace="181" w:vSpace="181" w:wrap="around" w:vAnchor="text" w:hAnchor="page" w:x="1135" w:y="285" w:anchorLock="1"/>
    </w:pPr>
    <w:rPr>
      <w:i/>
    </w:rPr>
  </w:style>
  <w:style w:type="paragraph" w:customStyle="1" w:styleId="MiniTOCTitle">
    <w:name w:val="MiniTOCTitle"/>
    <w:basedOn w:val="Heading4"/>
    <w:rsid w:val="005B4F4B"/>
    <w:pPr>
      <w:spacing w:before="240"/>
      <w:outlineLvl w:val="9"/>
    </w:pPr>
    <w:rPr>
      <w:noProof/>
      <w:sz w:val="24"/>
    </w:rPr>
  </w:style>
  <w:style w:type="paragraph" w:customStyle="1" w:styleId="MiniTOCItem">
    <w:name w:val="MiniTOCItem"/>
    <w:basedOn w:val="ListBullet"/>
    <w:rsid w:val="005B4F4B"/>
    <w:pPr>
      <w:numPr>
        <w:numId w:val="0"/>
      </w:numPr>
      <w:tabs>
        <w:tab w:val="right" w:leader="dot" w:pos="6521"/>
      </w:tabs>
      <w:spacing w:before="0" w:after="0"/>
    </w:pPr>
  </w:style>
  <w:style w:type="paragraph" w:customStyle="1" w:styleId="TOFTitle">
    <w:name w:val="TOFTitle"/>
    <w:basedOn w:val="TOCTitle"/>
    <w:rsid w:val="005B4F4B"/>
  </w:style>
  <w:style w:type="paragraph" w:styleId="TableofFigures">
    <w:name w:val="table of figures"/>
    <w:basedOn w:val="Normal"/>
    <w:next w:val="Normal"/>
    <w:semiHidden/>
    <w:rsid w:val="005B4F4B"/>
    <w:pPr>
      <w:tabs>
        <w:tab w:val="right" w:leader="dot" w:pos="9072"/>
      </w:tabs>
      <w:ind w:left="970" w:hanging="403"/>
    </w:pPr>
    <w:rPr>
      <w:rFonts w:ascii="Times New Roman" w:hAnsi="Times New Roman"/>
      <w:b/>
    </w:rPr>
  </w:style>
  <w:style w:type="paragraph" w:styleId="ListNumber">
    <w:name w:val="List Number"/>
    <w:basedOn w:val="List"/>
    <w:rsid w:val="005B4F4B"/>
    <w:pPr>
      <w:numPr>
        <w:numId w:val="13"/>
      </w:numPr>
      <w:tabs>
        <w:tab w:val="clear" w:pos="340"/>
      </w:tabs>
    </w:pPr>
  </w:style>
  <w:style w:type="character" w:customStyle="1" w:styleId="WingdingSymbols">
    <w:name w:val="Wingding Symbols"/>
    <w:rsid w:val="005B4F4B"/>
    <w:rPr>
      <w:rFonts w:ascii="Wingdings" w:hAnsi="Wingdings"/>
    </w:rPr>
  </w:style>
  <w:style w:type="paragraph" w:customStyle="1" w:styleId="TableHeading">
    <w:name w:val="Table Heading"/>
    <w:basedOn w:val="HeadingBase"/>
    <w:rsid w:val="005B4F4B"/>
    <w:pPr>
      <w:keepLines/>
      <w:pBdr>
        <w:bottom w:val="single" w:sz="6" w:space="1" w:color="918585"/>
      </w:pBdr>
      <w:spacing w:before="240"/>
    </w:pPr>
  </w:style>
  <w:style w:type="character" w:customStyle="1" w:styleId="HotSpot">
    <w:name w:val="HotSpot"/>
    <w:rsid w:val="005B4F4B"/>
    <w:rPr>
      <w:color w:val="0033CC"/>
      <w:u w:val="none"/>
    </w:rPr>
  </w:style>
  <w:style w:type="paragraph" w:customStyle="1" w:styleId="BodyTextRight">
    <w:name w:val="Body Text Right"/>
    <w:basedOn w:val="BodyText"/>
    <w:rsid w:val="005B4F4B"/>
    <w:pPr>
      <w:spacing w:before="0" w:after="0"/>
      <w:jc w:val="right"/>
    </w:pPr>
  </w:style>
  <w:style w:type="paragraph" w:styleId="Index3">
    <w:name w:val="index 3"/>
    <w:basedOn w:val="ListNumber2"/>
    <w:next w:val="Normal"/>
    <w:semiHidden/>
    <w:rsid w:val="005B4F4B"/>
    <w:pPr>
      <w:numPr>
        <w:numId w:val="0"/>
      </w:numPr>
      <w:tabs>
        <w:tab w:val="right" w:leader="dot" w:pos="4176"/>
      </w:tabs>
    </w:pPr>
  </w:style>
  <w:style w:type="paragraph" w:styleId="ListNumber2">
    <w:name w:val="List Number 2"/>
    <w:basedOn w:val="List2"/>
    <w:rsid w:val="005B4F4B"/>
    <w:pPr>
      <w:numPr>
        <w:numId w:val="8"/>
      </w:numPr>
      <w:tabs>
        <w:tab w:val="clear" w:pos="1060"/>
      </w:tabs>
    </w:pPr>
  </w:style>
  <w:style w:type="paragraph" w:customStyle="1" w:styleId="MarginNote">
    <w:name w:val="Margin Note"/>
    <w:basedOn w:val="BodyText"/>
    <w:rsid w:val="005B4F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F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F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F4B"/>
    <w:rPr>
      <w:sz w:val="32"/>
    </w:rPr>
  </w:style>
  <w:style w:type="paragraph" w:customStyle="1" w:styleId="HeadingProcedure">
    <w:name w:val="Heading Procedure"/>
    <w:basedOn w:val="HeadingBase"/>
    <w:next w:val="Normal"/>
    <w:rsid w:val="005B4F4B"/>
    <w:pPr>
      <w:tabs>
        <w:tab w:val="left" w:pos="0"/>
      </w:tabs>
      <w:spacing w:before="120" w:after="60"/>
    </w:pPr>
    <w:rPr>
      <w:i/>
      <w:color w:val="918585"/>
      <w:sz w:val="22"/>
    </w:rPr>
  </w:style>
  <w:style w:type="paragraph" w:customStyle="1" w:styleId="TableBodyText">
    <w:name w:val="Table Body Text"/>
    <w:basedOn w:val="BodyText"/>
    <w:rsid w:val="005B4F4B"/>
    <w:pPr>
      <w:spacing w:before="60" w:after="60"/>
    </w:pPr>
  </w:style>
  <w:style w:type="paragraph" w:styleId="ListContinue">
    <w:name w:val="List Continue"/>
    <w:basedOn w:val="List"/>
    <w:rsid w:val="005B4F4B"/>
    <w:pPr>
      <w:ind w:firstLine="0"/>
    </w:pPr>
  </w:style>
  <w:style w:type="paragraph" w:customStyle="1" w:styleId="ListNote">
    <w:name w:val="List Note"/>
    <w:basedOn w:val="List"/>
    <w:rsid w:val="005B4F4B"/>
    <w:pPr>
      <w:pBdr>
        <w:top w:val="single" w:sz="6" w:space="2" w:color="918585"/>
        <w:bottom w:val="single" w:sz="6" w:space="2" w:color="918585"/>
      </w:pBdr>
      <w:tabs>
        <w:tab w:val="left" w:pos="1021"/>
      </w:tabs>
      <w:ind w:firstLine="0"/>
    </w:pPr>
  </w:style>
  <w:style w:type="paragraph" w:customStyle="1" w:styleId="Warning">
    <w:name w:val="Warning"/>
    <w:basedOn w:val="BodyText"/>
    <w:rsid w:val="005B4F4B"/>
    <w:pPr>
      <w:shd w:val="clear" w:color="auto" w:fill="D9D9D9"/>
      <w:tabs>
        <w:tab w:val="left" w:pos="992"/>
      </w:tabs>
      <w:ind w:left="119" w:right="119"/>
    </w:pPr>
    <w:rPr>
      <w:sz w:val="20"/>
    </w:rPr>
  </w:style>
  <w:style w:type="paragraph" w:customStyle="1" w:styleId="MarginIcons">
    <w:name w:val="Margin Icons"/>
    <w:basedOn w:val="BodyText"/>
    <w:rsid w:val="005B4F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F4B"/>
    <w:rPr>
      <w:rFonts w:ascii="Courier New" w:hAnsi="Courier New"/>
    </w:rPr>
  </w:style>
  <w:style w:type="paragraph" w:customStyle="1" w:styleId="NoteBullet">
    <w:name w:val="Note Bullet"/>
    <w:basedOn w:val="Note"/>
    <w:rsid w:val="005B4F4B"/>
    <w:pPr>
      <w:tabs>
        <w:tab w:val="clear" w:pos="680"/>
      </w:tabs>
      <w:spacing w:before="60" w:after="60"/>
    </w:pPr>
  </w:style>
  <w:style w:type="paragraph" w:customStyle="1" w:styleId="SubHeading2">
    <w:name w:val="SubHeading2"/>
    <w:basedOn w:val="HeadingBase"/>
    <w:rsid w:val="005B4F4B"/>
    <w:pPr>
      <w:spacing w:before="240" w:after="60"/>
    </w:pPr>
    <w:rPr>
      <w:sz w:val="20"/>
    </w:rPr>
  </w:style>
  <w:style w:type="paragraph" w:customStyle="1" w:styleId="SubHeading1">
    <w:name w:val="SubHeading1"/>
    <w:basedOn w:val="HeadingBase"/>
    <w:rsid w:val="005B4F4B"/>
    <w:pPr>
      <w:spacing w:before="240" w:after="60"/>
    </w:pPr>
    <w:rPr>
      <w:color w:val="918585"/>
      <w:sz w:val="22"/>
    </w:rPr>
  </w:style>
  <w:style w:type="paragraph" w:customStyle="1" w:styleId="SideHeading">
    <w:name w:val="Side Heading"/>
    <w:basedOn w:val="HeadingBase"/>
    <w:rsid w:val="005B4F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F4B"/>
    <w:pPr>
      <w:numPr>
        <w:numId w:val="9"/>
      </w:numPr>
    </w:pPr>
  </w:style>
  <w:style w:type="paragraph" w:styleId="PlainText">
    <w:name w:val="Plain Text"/>
    <w:basedOn w:val="Normal"/>
    <w:link w:val="PlainTextChar"/>
    <w:rsid w:val="005B4F4B"/>
    <w:rPr>
      <w:sz w:val="20"/>
    </w:rPr>
  </w:style>
  <w:style w:type="character" w:customStyle="1" w:styleId="PlainTextChar">
    <w:name w:val="Plain Text Char"/>
    <w:basedOn w:val="DefaultParagraphFont"/>
    <w:link w:val="PlainText"/>
    <w:rsid w:val="005B4F4B"/>
    <w:rPr>
      <w:rFonts w:ascii="Courier New" w:eastAsia="Times New Roman" w:hAnsi="Courier New" w:cs="Times New Roman"/>
      <w:sz w:val="20"/>
      <w:szCs w:val="20"/>
      <w:lang w:eastAsia="en-US"/>
    </w:rPr>
  </w:style>
  <w:style w:type="character" w:customStyle="1" w:styleId="MenuOption">
    <w:name w:val="Menu Option"/>
    <w:basedOn w:val="DefaultParagraphFont"/>
    <w:rsid w:val="005B4F4B"/>
    <w:rPr>
      <w:b/>
      <w:smallCaps/>
    </w:rPr>
  </w:style>
  <w:style w:type="paragraph" w:customStyle="1" w:styleId="TableListNumber">
    <w:name w:val="Table List Number"/>
    <w:basedOn w:val="ListNumber"/>
    <w:rsid w:val="005B4F4B"/>
    <w:pPr>
      <w:numPr>
        <w:numId w:val="0"/>
      </w:numPr>
    </w:pPr>
  </w:style>
  <w:style w:type="paragraph" w:styleId="TOC4">
    <w:name w:val="toc 4"/>
    <w:basedOn w:val="TOCBase"/>
    <w:next w:val="Normal"/>
    <w:semiHidden/>
    <w:rsid w:val="005B4F4B"/>
    <w:pPr>
      <w:tabs>
        <w:tab w:val="right" w:leader="dot" w:pos="9071"/>
      </w:tabs>
      <w:ind w:left="1701"/>
    </w:pPr>
  </w:style>
  <w:style w:type="paragraph" w:customStyle="1" w:styleId="ListAlpha">
    <w:name w:val="List Alpha"/>
    <w:basedOn w:val="List"/>
    <w:rsid w:val="005B4F4B"/>
    <w:pPr>
      <w:numPr>
        <w:numId w:val="7"/>
      </w:numPr>
    </w:pPr>
  </w:style>
  <w:style w:type="paragraph" w:customStyle="1" w:styleId="ListAlpha2">
    <w:name w:val="List Alpha 2"/>
    <w:basedOn w:val="List2"/>
    <w:rsid w:val="005B4F4B"/>
    <w:pPr>
      <w:numPr>
        <w:numId w:val="6"/>
      </w:numPr>
    </w:pPr>
  </w:style>
  <w:style w:type="paragraph" w:styleId="List3">
    <w:name w:val="List 3"/>
    <w:basedOn w:val="BodyText"/>
    <w:rsid w:val="005B4F4B"/>
    <w:pPr>
      <w:tabs>
        <w:tab w:val="left" w:pos="1021"/>
      </w:tabs>
      <w:spacing w:before="60" w:after="60"/>
      <w:ind w:left="1020" w:hanging="340"/>
    </w:pPr>
  </w:style>
  <w:style w:type="paragraph" w:styleId="List4">
    <w:name w:val="List 4"/>
    <w:basedOn w:val="BodyText"/>
    <w:rsid w:val="005B4F4B"/>
    <w:pPr>
      <w:tabs>
        <w:tab w:val="left" w:pos="1361"/>
      </w:tabs>
      <w:spacing w:before="60" w:after="60"/>
      <w:ind w:left="1361" w:hanging="340"/>
    </w:pPr>
  </w:style>
  <w:style w:type="paragraph" w:styleId="List5">
    <w:name w:val="List 5"/>
    <w:basedOn w:val="BodyText"/>
    <w:rsid w:val="005B4F4B"/>
    <w:pPr>
      <w:tabs>
        <w:tab w:val="left" w:pos="1701"/>
      </w:tabs>
      <w:spacing w:before="60" w:after="60"/>
      <w:ind w:left="1701" w:hanging="340"/>
    </w:pPr>
  </w:style>
  <w:style w:type="paragraph" w:styleId="ListBullet3">
    <w:name w:val="List Bullet 3"/>
    <w:basedOn w:val="List3"/>
    <w:rsid w:val="005B4F4B"/>
    <w:pPr>
      <w:numPr>
        <w:numId w:val="12"/>
      </w:numPr>
      <w:tabs>
        <w:tab w:val="clear" w:pos="1021"/>
      </w:tabs>
      <w:ind w:left="1037" w:hanging="357"/>
    </w:pPr>
  </w:style>
  <w:style w:type="paragraph" w:styleId="ListBullet4">
    <w:name w:val="List Bullet 4"/>
    <w:basedOn w:val="List4"/>
    <w:rsid w:val="005B4F4B"/>
    <w:pPr>
      <w:numPr>
        <w:numId w:val="1"/>
      </w:numPr>
      <w:tabs>
        <w:tab w:val="clear" w:pos="1361"/>
      </w:tabs>
    </w:pPr>
  </w:style>
  <w:style w:type="paragraph" w:styleId="ListBullet5">
    <w:name w:val="List Bullet 5"/>
    <w:basedOn w:val="List5"/>
    <w:rsid w:val="005B4F4B"/>
    <w:pPr>
      <w:numPr>
        <w:numId w:val="2"/>
      </w:numPr>
    </w:pPr>
  </w:style>
  <w:style w:type="paragraph" w:styleId="ListContinue2">
    <w:name w:val="List Continue 2"/>
    <w:basedOn w:val="List2"/>
    <w:rsid w:val="005B4F4B"/>
    <w:pPr>
      <w:ind w:firstLine="0"/>
    </w:pPr>
  </w:style>
  <w:style w:type="paragraph" w:styleId="ListContinue3">
    <w:name w:val="List Continue 3"/>
    <w:basedOn w:val="List3"/>
    <w:rsid w:val="005B4F4B"/>
    <w:pPr>
      <w:ind w:left="1021" w:firstLine="0"/>
    </w:pPr>
  </w:style>
  <w:style w:type="paragraph" w:styleId="ListContinue4">
    <w:name w:val="List Continue 4"/>
    <w:basedOn w:val="List4"/>
    <w:rsid w:val="005B4F4B"/>
    <w:pPr>
      <w:ind w:firstLine="0"/>
    </w:pPr>
  </w:style>
  <w:style w:type="paragraph" w:styleId="ListContinue5">
    <w:name w:val="List Continue 5"/>
    <w:basedOn w:val="List5"/>
    <w:rsid w:val="005B4F4B"/>
    <w:pPr>
      <w:ind w:firstLine="0"/>
    </w:pPr>
  </w:style>
  <w:style w:type="paragraph" w:styleId="ListNumber3">
    <w:name w:val="List Number 3"/>
    <w:basedOn w:val="List3"/>
    <w:rsid w:val="005B4F4B"/>
    <w:pPr>
      <w:numPr>
        <w:numId w:val="3"/>
      </w:numPr>
    </w:pPr>
  </w:style>
  <w:style w:type="paragraph" w:styleId="ListNumber4">
    <w:name w:val="List Number 4"/>
    <w:basedOn w:val="List4"/>
    <w:rsid w:val="005B4F4B"/>
    <w:pPr>
      <w:numPr>
        <w:numId w:val="4"/>
      </w:numPr>
    </w:pPr>
  </w:style>
  <w:style w:type="paragraph" w:styleId="ListNumber5">
    <w:name w:val="List Number 5"/>
    <w:basedOn w:val="List5"/>
    <w:rsid w:val="005B4F4B"/>
    <w:pPr>
      <w:numPr>
        <w:numId w:val="5"/>
      </w:numPr>
    </w:pPr>
  </w:style>
  <w:style w:type="paragraph" w:styleId="BlockText">
    <w:name w:val="Block Text"/>
    <w:basedOn w:val="Normal"/>
    <w:rsid w:val="005B4F4B"/>
    <w:pPr>
      <w:spacing w:after="120"/>
      <w:ind w:left="1440" w:right="1440"/>
    </w:pPr>
  </w:style>
  <w:style w:type="character" w:customStyle="1" w:styleId="Subscript">
    <w:name w:val="Subscript"/>
    <w:basedOn w:val="DefaultParagraphFont"/>
    <w:rsid w:val="005B4F4B"/>
    <w:rPr>
      <w:sz w:val="16"/>
      <w:vertAlign w:val="subscript"/>
    </w:rPr>
  </w:style>
  <w:style w:type="character" w:customStyle="1" w:styleId="Superscript">
    <w:name w:val="Superscript"/>
    <w:basedOn w:val="DefaultParagraphFont"/>
    <w:rsid w:val="005B4F4B"/>
    <w:rPr>
      <w:sz w:val="16"/>
      <w:vertAlign w:val="superscript"/>
    </w:rPr>
  </w:style>
  <w:style w:type="character" w:customStyle="1" w:styleId="Symbols">
    <w:name w:val="Symbols"/>
    <w:basedOn w:val="DefaultParagraphFont"/>
    <w:rsid w:val="005B4F4B"/>
    <w:rPr>
      <w:rFonts w:ascii="Symbol" w:hAnsi="Symbol"/>
    </w:rPr>
  </w:style>
  <w:style w:type="character" w:customStyle="1" w:styleId="MenuOptions">
    <w:name w:val="Menu Options"/>
    <w:basedOn w:val="DefaultParagraphFont"/>
    <w:rsid w:val="005B4F4B"/>
    <w:rPr>
      <w:rFonts w:ascii="Arial Narrow" w:hAnsi="Arial Narrow"/>
      <w:smallCaps/>
    </w:rPr>
  </w:style>
  <w:style w:type="character" w:customStyle="1" w:styleId="Buttons">
    <w:name w:val="Buttons"/>
    <w:basedOn w:val="DefaultParagraphFont"/>
    <w:rsid w:val="005B4F4B"/>
    <w:rPr>
      <w:b/>
    </w:rPr>
  </w:style>
  <w:style w:type="character" w:customStyle="1" w:styleId="Underlined">
    <w:name w:val="Underlined"/>
    <w:basedOn w:val="DefaultParagraphFont"/>
    <w:rsid w:val="005B4F4B"/>
    <w:rPr>
      <w:u w:val="single"/>
    </w:rPr>
  </w:style>
  <w:style w:type="paragraph" w:customStyle="1" w:styleId="TableBodyTextRight">
    <w:name w:val="Table Body Text Right"/>
    <w:basedOn w:val="TableBodyText"/>
    <w:rsid w:val="005B4F4B"/>
    <w:pPr>
      <w:widowControl w:val="0"/>
      <w:autoSpaceDE w:val="0"/>
      <w:autoSpaceDN w:val="0"/>
      <w:adjustRightInd w:val="0"/>
      <w:jc w:val="right"/>
    </w:pPr>
    <w:rPr>
      <w:rFonts w:cs="Arial"/>
      <w:szCs w:val="18"/>
    </w:rPr>
  </w:style>
  <w:style w:type="paragraph" w:customStyle="1" w:styleId="CopyrightText">
    <w:name w:val="Copyright Text"/>
    <w:basedOn w:val="BodyText"/>
    <w:rsid w:val="005B4F4B"/>
    <w:rPr>
      <w:sz w:val="18"/>
    </w:rPr>
  </w:style>
  <w:style w:type="paragraph" w:customStyle="1" w:styleId="BodySmallRight">
    <w:name w:val="Body Small Right"/>
    <w:basedOn w:val="BodyTextRight"/>
    <w:rsid w:val="005B4F4B"/>
    <w:rPr>
      <w:sz w:val="18"/>
      <w:szCs w:val="18"/>
    </w:rPr>
  </w:style>
  <w:style w:type="paragraph" w:customStyle="1" w:styleId="MarginEdition">
    <w:name w:val="Margin Edition"/>
    <w:basedOn w:val="MarginNote"/>
    <w:rsid w:val="005B4F4B"/>
    <w:pPr>
      <w:spacing w:before="0" w:after="0"/>
    </w:pPr>
    <w:rPr>
      <w:rFonts w:ascii="Times New Roman" w:hAnsi="Times New Roman"/>
      <w:color w:val="999999"/>
    </w:rPr>
  </w:style>
  <w:style w:type="paragraph" w:customStyle="1" w:styleId="Spacer">
    <w:name w:val="Spacer"/>
    <w:basedOn w:val="Normal"/>
    <w:rsid w:val="005B4F4B"/>
    <w:rPr>
      <w:sz w:val="2"/>
      <w:szCs w:val="2"/>
    </w:rPr>
  </w:style>
  <w:style w:type="character" w:customStyle="1" w:styleId="Small">
    <w:name w:val="Small"/>
    <w:basedOn w:val="DefaultParagraphFont"/>
    <w:rsid w:val="005B4F4B"/>
    <w:rPr>
      <w:sz w:val="16"/>
    </w:rPr>
  </w:style>
  <w:style w:type="paragraph" w:customStyle="1" w:styleId="WideTable">
    <w:name w:val="Wide Table"/>
    <w:basedOn w:val="Normal"/>
    <w:rsid w:val="005B4F4B"/>
    <w:pPr>
      <w:ind w:left="-1418"/>
    </w:pPr>
    <w:rPr>
      <w:sz w:val="2"/>
      <w:szCs w:val="2"/>
    </w:rPr>
  </w:style>
  <w:style w:type="character" w:styleId="PageNumber">
    <w:name w:val="page number"/>
    <w:basedOn w:val="DefaultParagraphFont"/>
    <w:rsid w:val="005B4F4B"/>
  </w:style>
  <w:style w:type="paragraph" w:styleId="Quote">
    <w:name w:val="Quote"/>
    <w:basedOn w:val="Heading1"/>
    <w:link w:val="QuoteChar"/>
    <w:qFormat/>
    <w:rsid w:val="005B4F4B"/>
    <w:rPr>
      <w:b w:val="0"/>
      <w:sz w:val="72"/>
      <w:szCs w:val="72"/>
      <w:lang w:val="en-NZ"/>
    </w:rPr>
  </w:style>
  <w:style w:type="character" w:customStyle="1" w:styleId="QuoteChar">
    <w:name w:val="Quote Char"/>
    <w:basedOn w:val="DefaultParagraphFont"/>
    <w:link w:val="Quote"/>
    <w:rsid w:val="005B4F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F4B"/>
    <w:pPr>
      <w:pageBreakBefore/>
    </w:pPr>
  </w:style>
  <w:style w:type="paragraph" w:customStyle="1" w:styleId="Border">
    <w:name w:val="Border"/>
    <w:basedOn w:val="Normal"/>
    <w:qFormat/>
    <w:rsid w:val="005B4F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F4B"/>
    <w:rPr>
      <w:b/>
      <w:bCs/>
      <w:i/>
      <w:iCs/>
      <w:color w:val="auto"/>
    </w:rPr>
  </w:style>
  <w:style w:type="paragraph" w:styleId="IntenseQuote">
    <w:name w:val="Intense Quote"/>
    <w:basedOn w:val="Normal"/>
    <w:next w:val="Normal"/>
    <w:link w:val="IntenseQuoteChar"/>
    <w:uiPriority w:val="30"/>
    <w:qFormat/>
    <w:rsid w:val="005B4F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F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F4B"/>
    <w:rPr>
      <w:smallCaps/>
      <w:color w:val="auto"/>
      <w:u w:val="single"/>
    </w:rPr>
  </w:style>
  <w:style w:type="character" w:styleId="IntenseReference">
    <w:name w:val="Intense Reference"/>
    <w:basedOn w:val="DefaultParagraphFont"/>
    <w:uiPriority w:val="32"/>
    <w:qFormat/>
    <w:rsid w:val="005B4F4B"/>
    <w:rPr>
      <w:b/>
      <w:bCs/>
      <w:smallCaps/>
      <w:color w:val="auto"/>
      <w:spacing w:val="5"/>
      <w:u w:val="single"/>
    </w:rPr>
  </w:style>
  <w:style w:type="paragraph" w:customStyle="1" w:styleId="2ColumnHeading">
    <w:name w:val="2Column Heading"/>
    <w:basedOn w:val="BodyText"/>
    <w:qFormat/>
    <w:rsid w:val="005B4F4B"/>
    <w:pPr>
      <w:spacing w:after="60"/>
      <w:ind w:left="-2268"/>
    </w:pPr>
    <w:rPr>
      <w:b/>
    </w:rPr>
  </w:style>
  <w:style w:type="paragraph" w:customStyle="1" w:styleId="Heading1TOC">
    <w:name w:val="Heading1 TOC"/>
    <w:basedOn w:val="Normal"/>
    <w:qFormat/>
    <w:rsid w:val="005B4F4B"/>
    <w:pPr>
      <w:spacing w:before="240" w:after="120"/>
    </w:pPr>
    <w:rPr>
      <w:rFonts w:ascii="Times New Roman" w:hAnsi="Times New Roman"/>
      <w:b/>
      <w:sz w:val="32"/>
    </w:rPr>
  </w:style>
  <w:style w:type="paragraph" w:customStyle="1" w:styleId="Heading2TOC">
    <w:name w:val="Heading2 TOC"/>
    <w:basedOn w:val="Normal"/>
    <w:qFormat/>
    <w:rsid w:val="005B4F4B"/>
    <w:pPr>
      <w:spacing w:before="240" w:after="60"/>
    </w:pPr>
    <w:rPr>
      <w:rFonts w:ascii="Times New Roman" w:hAnsi="Times New Roman"/>
      <w:b/>
      <w:sz w:val="28"/>
    </w:rPr>
  </w:style>
  <w:style w:type="character" w:customStyle="1" w:styleId="Underline">
    <w:name w:val="Underline"/>
    <w:basedOn w:val="DefaultParagraphFont"/>
    <w:qFormat/>
    <w:rsid w:val="005B4F4B"/>
    <w:rPr>
      <w:u w:val="single"/>
    </w:rPr>
  </w:style>
  <w:style w:type="character" w:customStyle="1" w:styleId="BoldandItalics">
    <w:name w:val="Bold and Italics"/>
    <w:qFormat/>
    <w:rsid w:val="005B4F4B"/>
    <w:rPr>
      <w:b/>
      <w:i/>
      <w:u w:val="none"/>
    </w:rPr>
  </w:style>
  <w:style w:type="paragraph" w:styleId="BalloonText">
    <w:name w:val="Balloon Text"/>
    <w:basedOn w:val="Normal"/>
    <w:link w:val="BalloonTextChar"/>
    <w:rsid w:val="005B4F4B"/>
    <w:rPr>
      <w:rFonts w:ascii="Tahoma" w:hAnsi="Tahoma" w:cs="Tahoma"/>
      <w:sz w:val="16"/>
      <w:szCs w:val="16"/>
    </w:rPr>
  </w:style>
  <w:style w:type="character" w:customStyle="1" w:styleId="BalloonTextChar">
    <w:name w:val="Balloon Text Char"/>
    <w:basedOn w:val="DefaultParagraphFont"/>
    <w:link w:val="BalloonText"/>
    <w:rsid w:val="005B4F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F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F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F4B"/>
    <w:rPr>
      <w:b/>
      <w:color w:val="660033"/>
      <w:spacing w:val="0"/>
    </w:rPr>
  </w:style>
  <w:style w:type="paragraph" w:customStyle="1" w:styleId="Nameditemlist">
    <w:name w:val="Named item list"/>
    <w:basedOn w:val="BodyText"/>
    <w:qFormat/>
    <w:rsid w:val="005B4F4B"/>
    <w:pPr>
      <w:tabs>
        <w:tab w:val="left" w:pos="2835"/>
      </w:tabs>
      <w:ind w:left="2835" w:hanging="2835"/>
    </w:pPr>
  </w:style>
  <w:style w:type="paragraph" w:customStyle="1" w:styleId="BodyTextnopadding">
    <w:name w:val="Body Text no padding"/>
    <w:basedOn w:val="BodyText"/>
    <w:qFormat/>
    <w:rsid w:val="005B4F4B"/>
    <w:pPr>
      <w:spacing w:before="0" w:after="0"/>
    </w:pPr>
  </w:style>
  <w:style w:type="paragraph" w:customStyle="1" w:styleId="BodyTextBold">
    <w:name w:val="Body Text Bold"/>
    <w:basedOn w:val="BodyText"/>
    <w:qFormat/>
    <w:rsid w:val="005B4F4B"/>
    <w:rPr>
      <w:b/>
    </w:rPr>
  </w:style>
  <w:style w:type="character" w:styleId="Hyperlink">
    <w:name w:val="Hyperlink"/>
    <w:basedOn w:val="DefaultParagraphFont"/>
    <w:uiPriority w:val="99"/>
    <w:unhideWhenUsed/>
    <w:rsid w:val="00AA55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3658</Characters>
  <Application>Microsoft Office Word</Application>
  <DocSecurity>0</DocSecurity>
  <Lines>89</Lines>
  <Paragraphs>68</Paragraphs>
  <ScaleCrop>false</ScaleCrop>
  <Company>Author-it Software Corporation Ltd.</Company>
  <LinksUpToDate>false</LinksUpToDate>
  <CharactersWithSpaces>4177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HLTDET011 Construct ceramic and fixed restorations</dc:title>
  <dc:subject>Approved</dc:subject>
  <dc:creator>SkillsIQ</dc:creator>
  <cp:keywords>Release: 1</cp:keywords>
  <dc:description>Review Date: 12 April 2008</dc:description>
  <cp:lastModifiedBy>HSD_TPCMSd.prod</cp:lastModifiedBy>
  <cp:revision>3</cp:revision>
  <dcterms:created xsi:type="dcterms:W3CDTF">2023-07-02T02:31:00Z</dcterms:created>
  <dcterms:modified xsi:type="dcterms:W3CDTF">2023-07-02T02:31:00Z</dcterms:modified>
</cp:coreProperties>
</file>