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7AD" w:rsidP="00AA7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HLTDET008 Construct cast alloy removable partial denture framework</w:t>
      </w:r>
      <w:r>
        <w:fldChar w:fldCharType="end"/>
      </w:r>
    </w:p>
    <w:p w:rsidR="00AA77AD" w:rsidP="00AA77AD">
      <w:pPr>
        <w:pStyle w:val="Version"/>
        <w:sectPr w:rsidSect="00525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CC3" w:rsidP="00525CC3">
      <w:pPr>
        <w:pStyle w:val="SuperHeading"/>
      </w:pPr>
      <w:r w:rsidRPr="00525CC3">
        <w:t>HLTDET008 Construct cast alloy removable partial denture framework</w:t>
      </w:r>
    </w:p>
    <w:p w:rsidR="00000000" w:rsidRPr="00525CC3" w:rsidP="00525CC3">
      <w:pPr>
        <w:pStyle w:val="Heading1"/>
      </w:pPr>
      <w:bookmarkStart w:id="1" w:name="O_819978"/>
      <w:bookmarkEnd w:id="1"/>
      <w:r w:rsidRPr="00525C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AA7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 xml:space="preserve">Release </w:t>
            </w:r>
            <w:r w:rsidRPr="00525CC3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 xml:space="preserve">Comments </w:t>
            </w:r>
          </w:p>
        </w:tc>
      </w:tr>
      <w:tr w:rsidTr="00AA7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 xml:space="preserve">This version was released in </w:t>
            </w:r>
            <w:r w:rsidRPr="00525CC3">
              <w:rPr>
                <w:rStyle w:val="Emphasis"/>
              </w:rPr>
              <w:t>HLT Health Training Package release 3.0</w:t>
            </w:r>
            <w:r w:rsidRPr="00525CC3">
              <w:t xml:space="preserve"> and meets the requirements of the 2012 Standards for Training Packages.</w:t>
            </w:r>
          </w:p>
          <w:p w:rsidR="00000000" w:rsidRPr="00525CC3" w:rsidP="00525CC3">
            <w:pPr>
              <w:pStyle w:val="BodyText"/>
            </w:pPr>
            <w:r w:rsidRPr="00525CC3">
              <w:t>Minimal changes to the elements and performance criteria. New evidence requirements for assessment including volume and frequency requirements. Removal of pre-requisites</w:t>
            </w:r>
          </w:p>
          <w:p w:rsidR="00000000" w:rsidRPr="00525CC3" w:rsidP="00525CC3">
            <w:pPr>
              <w:pStyle w:val="BodyText"/>
            </w:pPr>
            <w:r w:rsidRPr="00525CC3">
              <w:t>Supersedes HL</w:t>
            </w:r>
            <w:r w:rsidRPr="00525CC3">
              <w:t>TDT509D</w:t>
            </w:r>
          </w:p>
        </w:tc>
      </w:tr>
    </w:tbl>
    <w:p w:rsidR="00AA77AD" w:rsidP="00525CC3">
      <w:pPr>
        <w:pStyle w:val="BodyText"/>
      </w:pPr>
    </w:p>
    <w:p w:rsidR="00AA77AD" w:rsidP="00525CC3">
      <w:pPr>
        <w:pStyle w:val="BodyText"/>
      </w:pPr>
    </w:p>
    <w:p w:rsidR="00000000" w:rsidRPr="00525CC3" w:rsidP="00525CC3">
      <w:pPr>
        <w:pStyle w:val="Heading1"/>
      </w:pPr>
      <w:bookmarkStart w:id="2" w:name="O_819979"/>
      <w:bookmarkEnd w:id="2"/>
      <w:r w:rsidRPr="00525CC3">
        <w:t>Application</w:t>
      </w:r>
    </w:p>
    <w:p w:rsidR="00000000" w:rsidRPr="00525CC3" w:rsidP="00AA77AD">
      <w:pPr>
        <w:pStyle w:val="BodyText"/>
      </w:pPr>
      <w:r w:rsidRPr="00525CC3">
        <w:t>This unit of competency describes the skills and knowledge required to construct burnout patterns for cast metal framework and to devest, trim, treat, finish and evaluate alloy structures.</w:t>
      </w:r>
    </w:p>
    <w:p w:rsidR="00000000" w:rsidRPr="00525CC3" w:rsidP="00AA77AD">
      <w:pPr>
        <w:pStyle w:val="BodyText"/>
      </w:pPr>
      <w:r w:rsidRPr="00525CC3">
        <w:t xml:space="preserve">This unit applies to work </w:t>
      </w:r>
      <w:r w:rsidRPr="00525CC3">
        <w:t>in dental technology.</w:t>
      </w:r>
    </w:p>
    <w:p w:rsidR="00AA77AD" w:rsidRPr="00AA77AD" w:rsidP="00AA77AD">
      <w:pPr>
        <w:pStyle w:val="BodyText"/>
        <w:rPr>
          <w:i/>
        </w:rPr>
      </w:pPr>
      <w:r w:rsidRPr="00AA77AD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AA77AD">
        <w:rPr>
          <w:i/>
        </w:rPr>
        <w:t>.</w:t>
      </w:r>
    </w:p>
    <w:p w:rsidR="00000000" w:rsidRPr="00525CC3" w:rsidP="00525CC3">
      <w:pPr>
        <w:pStyle w:val="Heading1"/>
      </w:pPr>
      <w:bookmarkStart w:id="3" w:name="O_819983"/>
      <w:bookmarkEnd w:id="3"/>
      <w:r w:rsidRPr="00525C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rPr>
                <w:rStyle w:val="SpecialBold"/>
              </w:rPr>
              <w:t>PERFORMANCE CRITERIA</w:t>
            </w:r>
          </w:p>
        </w:tc>
      </w:tr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Performance criteria describe the performance needed to demonstrate achievement of the element.</w:t>
            </w:r>
          </w:p>
        </w:tc>
      </w:tr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1. Prepare master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>1.1 Read and interpret the work order</w:t>
            </w:r>
          </w:p>
          <w:p w:rsidR="00000000" w:rsidRPr="00525CC3" w:rsidP="00525CC3">
            <w:pPr>
              <w:pStyle w:val="BodyText"/>
            </w:pPr>
            <w:r w:rsidRPr="00525CC3">
              <w:t>1.2 Confirm the survey of model that</w:t>
            </w:r>
            <w:r w:rsidRPr="00525CC3">
              <w:t xml:space="preserve"> has been carried out by the operator</w:t>
            </w:r>
          </w:p>
          <w:p w:rsidR="00000000" w:rsidRPr="00525CC3" w:rsidP="00525CC3">
            <w:pPr>
              <w:pStyle w:val="BodyText"/>
            </w:pPr>
            <w:r w:rsidRPr="00525CC3">
              <w:t>1.3 Transfer design to master model</w:t>
            </w:r>
          </w:p>
          <w:p w:rsidR="00000000" w:rsidRPr="00525CC3" w:rsidP="00525CC3">
            <w:pPr>
              <w:pStyle w:val="BodyText"/>
            </w:pPr>
            <w:r w:rsidRPr="00525CC3">
              <w:t>1.4 Block out undesirable undercuts</w:t>
            </w:r>
          </w:p>
          <w:p w:rsidR="00000000" w:rsidRPr="00525CC3" w:rsidP="00525CC3">
            <w:pPr>
              <w:pStyle w:val="BodyText"/>
            </w:pPr>
            <w:r w:rsidRPr="00525CC3">
              <w:t>1.5 Create clasp ledges</w:t>
            </w:r>
          </w:p>
          <w:p w:rsidR="00000000" w:rsidRPr="00525CC3" w:rsidP="00525CC3">
            <w:pPr>
              <w:pStyle w:val="BodyText"/>
            </w:pPr>
            <w:r w:rsidRPr="00525CC3">
              <w:t>1.6 Scribe food lines</w:t>
            </w:r>
          </w:p>
          <w:p w:rsidR="00000000" w:rsidRPr="00525CC3" w:rsidP="00525CC3">
            <w:pPr>
              <w:pStyle w:val="BodyText"/>
            </w:pPr>
            <w:r w:rsidRPr="00525CC3">
              <w:t>1.7 Apply tissue relief</w:t>
            </w:r>
          </w:p>
          <w:p w:rsidR="00000000" w:rsidRPr="00525CC3" w:rsidP="00525CC3">
            <w:pPr>
              <w:pStyle w:val="BodyText"/>
            </w:pPr>
            <w:r w:rsidRPr="00525CC3">
              <w:t>1.8 Apply saddle relief</w:t>
            </w:r>
          </w:p>
          <w:p w:rsidR="00000000" w:rsidP="00525CC3">
            <w:pPr>
              <w:pStyle w:val="BodyText"/>
              <w:rPr>
                <w:lang w:val="en-NZ"/>
              </w:rPr>
            </w:pPr>
          </w:p>
        </w:tc>
      </w:tr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2. Construct refractory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>2.1 Duplicate master model in refractory material to produce an accurate copy of the model</w:t>
            </w:r>
          </w:p>
          <w:p w:rsidR="00000000" w:rsidRPr="00525CC3" w:rsidP="00525CC3">
            <w:pPr>
              <w:pStyle w:val="BodyText"/>
            </w:pPr>
            <w:r w:rsidRPr="00525CC3">
              <w:t>2.2 Construct sprue former as necessary</w:t>
            </w:r>
          </w:p>
          <w:p w:rsidR="00000000" w:rsidRPr="00525CC3" w:rsidP="00525CC3">
            <w:pPr>
              <w:pStyle w:val="BodyText"/>
            </w:pPr>
            <w:r w:rsidRPr="00525CC3">
              <w:t>2.3 Prepare the refractory model appropriately and apply an appropriate hardener or sealant</w:t>
            </w:r>
          </w:p>
          <w:p w:rsidR="00000000" w:rsidP="00525CC3">
            <w:pPr>
              <w:pStyle w:val="BodyText"/>
              <w:rPr>
                <w:lang w:val="en-NZ"/>
              </w:rPr>
            </w:pPr>
          </w:p>
        </w:tc>
      </w:tr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3. Wax and invest removable par</w:t>
            </w:r>
            <w:r w:rsidRPr="00525CC3">
              <w:t>tial denture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>3.1 Transfer design outline correctly to the refractory model</w:t>
            </w:r>
          </w:p>
          <w:p w:rsidR="00000000" w:rsidRPr="00525CC3" w:rsidP="00525CC3">
            <w:pPr>
              <w:pStyle w:val="BodyText"/>
            </w:pPr>
            <w:r w:rsidRPr="00525CC3">
              <w:t>3.2 Select appropriate wax and pre-formed components</w:t>
            </w:r>
          </w:p>
          <w:p w:rsidR="00000000" w:rsidRPr="00525CC3" w:rsidP="00525CC3">
            <w:pPr>
              <w:pStyle w:val="BodyText"/>
            </w:pPr>
            <w:r w:rsidRPr="00525CC3">
              <w:t>3.3 Wax up patterns to the refractory cast consistent with the design</w:t>
            </w:r>
          </w:p>
          <w:p w:rsidR="00000000" w:rsidRPr="00525CC3" w:rsidP="00525CC3">
            <w:pPr>
              <w:pStyle w:val="BodyText"/>
            </w:pPr>
            <w:r w:rsidRPr="00525CC3">
              <w:t>3.4 Sprue the pattern using material of the corr</w:t>
            </w:r>
            <w:r w:rsidRPr="00525CC3">
              <w:t>ect size and in the correct shape and position for the material being cast, and attach it to the investment former</w:t>
            </w:r>
          </w:p>
          <w:p w:rsidR="00000000" w:rsidRPr="00525CC3" w:rsidP="00525CC3">
            <w:pPr>
              <w:pStyle w:val="BodyText"/>
            </w:pPr>
            <w:r w:rsidRPr="00525CC3">
              <w:t>3.5 Select appropriate investment and technique according to the alloy</w:t>
            </w:r>
          </w:p>
          <w:p w:rsidR="00000000" w:rsidRPr="00525CC3" w:rsidP="00525CC3">
            <w:pPr>
              <w:pStyle w:val="BodyText"/>
            </w:pPr>
            <w:r w:rsidRPr="00525CC3">
              <w:t>3.6 Prepare investment materials in accordance with manufacturers’ ins</w:t>
            </w:r>
            <w:r w:rsidRPr="00525CC3">
              <w:t>tructions</w:t>
            </w:r>
          </w:p>
          <w:p w:rsidR="00000000" w:rsidRPr="00525CC3" w:rsidP="00525CC3">
            <w:pPr>
              <w:pStyle w:val="BodyText"/>
            </w:pPr>
            <w:r w:rsidRPr="00525CC3">
              <w:t>3.7 Treat the surface of the wax, patterns and sprues</w:t>
            </w:r>
          </w:p>
          <w:p w:rsidR="00000000" w:rsidRPr="00525CC3" w:rsidP="00525CC3">
            <w:pPr>
              <w:pStyle w:val="BodyText"/>
            </w:pPr>
            <w:r w:rsidRPr="00525CC3">
              <w:t>3.8 Allow for investment setting time in accordance with manufacturer’s instructions</w:t>
            </w:r>
          </w:p>
          <w:p w:rsidR="00000000" w:rsidP="00525CC3">
            <w:pPr>
              <w:pStyle w:val="BodyText"/>
              <w:rPr>
                <w:lang w:val="en-NZ"/>
              </w:rPr>
            </w:pPr>
          </w:p>
        </w:tc>
      </w:tr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4. Burnout and cast removable partial denture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>4.1 Select appropriate alloy according to work or</w:t>
            </w:r>
            <w:r w:rsidRPr="00525CC3">
              <w:t>der</w:t>
            </w:r>
          </w:p>
          <w:p w:rsidR="00000000" w:rsidRPr="00525CC3" w:rsidP="00525CC3">
            <w:pPr>
              <w:pStyle w:val="BodyText"/>
            </w:pPr>
            <w:r w:rsidRPr="00525CC3">
              <w:t>4.2 Select burnout and preheat cycles for appropriate investment and alloy combination</w:t>
            </w:r>
          </w:p>
          <w:p w:rsidR="00000000" w:rsidRPr="00525CC3" w:rsidP="00525CC3">
            <w:pPr>
              <w:pStyle w:val="BodyText"/>
            </w:pPr>
            <w:r w:rsidRPr="00525CC3">
              <w:t>4.3 Burnout wax from investment mould and hold at recommended temperature for casting</w:t>
            </w:r>
          </w:p>
          <w:p w:rsidR="00000000" w:rsidRPr="00525CC3" w:rsidP="00525CC3">
            <w:pPr>
              <w:pStyle w:val="BodyText"/>
            </w:pPr>
            <w:r w:rsidRPr="00525CC3">
              <w:t>4.4 Melt alloy and cast using appropriate materials, equipment and techniques</w:t>
            </w:r>
          </w:p>
          <w:p w:rsidR="00000000" w:rsidP="00525CC3">
            <w:pPr>
              <w:pStyle w:val="BodyText"/>
              <w:rPr>
                <w:lang w:val="en-NZ"/>
              </w:rPr>
            </w:pPr>
          </w:p>
        </w:tc>
      </w:tr>
      <w:tr w:rsidTr="00525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t>5. Devest, trim, finish and evaluate alloy structures for removable partial denture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>5.1 Select and apply cooling cycle</w:t>
            </w:r>
          </w:p>
          <w:p w:rsidR="00000000" w:rsidRPr="00525CC3" w:rsidP="00525CC3">
            <w:pPr>
              <w:pStyle w:val="BodyText"/>
            </w:pPr>
            <w:r w:rsidRPr="00525CC3">
              <w:t>5.2 Remove the cast alloy structure from the investment without damaging the integrity of the structure</w:t>
            </w:r>
          </w:p>
          <w:p w:rsidR="00000000" w:rsidRPr="00525CC3" w:rsidP="00525CC3">
            <w:pPr>
              <w:pStyle w:val="BodyText"/>
            </w:pPr>
            <w:r w:rsidRPr="00525CC3">
              <w:t>5.3 Remove oxides using an appro</w:t>
            </w:r>
            <w:r w:rsidRPr="00525CC3">
              <w:t>priate abrasive or chemical treatment</w:t>
            </w:r>
          </w:p>
          <w:p w:rsidR="00000000" w:rsidRPr="00525CC3" w:rsidP="00525CC3">
            <w:pPr>
              <w:pStyle w:val="BodyText"/>
            </w:pPr>
            <w:r w:rsidRPr="00525CC3">
              <w:t>5.4 Visually examine the cast alloy structure and correctly identify any casting faults and assess the viability of the casting</w:t>
            </w:r>
          </w:p>
          <w:p w:rsidR="00000000" w:rsidRPr="00525CC3" w:rsidP="00525CC3">
            <w:pPr>
              <w:pStyle w:val="BodyText"/>
            </w:pPr>
            <w:r w:rsidRPr="00525CC3">
              <w:t>5.5 Remove sprues and trim and shape the alloy structure</w:t>
            </w:r>
          </w:p>
          <w:p w:rsidR="00000000" w:rsidRPr="00525CC3" w:rsidP="00525CC3">
            <w:pPr>
              <w:pStyle w:val="BodyText"/>
            </w:pPr>
            <w:r w:rsidRPr="00525CC3">
              <w:t>5.6 Treat the surface of the allo</w:t>
            </w:r>
            <w:r w:rsidRPr="00525CC3">
              <w:t>y using appropriate materials and equipment, and finish using appropriate abrasives and polishes</w:t>
            </w:r>
          </w:p>
          <w:p w:rsidR="00000000" w:rsidRPr="00525CC3" w:rsidP="00525CC3">
            <w:pPr>
              <w:pStyle w:val="BodyText"/>
            </w:pPr>
            <w:r w:rsidRPr="00525CC3">
              <w:t>5.7 Position the cast on the master model and check accuracy of major connection and clasps, and adjust any metal occlusal contacts with antagonist</w:t>
            </w:r>
          </w:p>
          <w:p w:rsidR="00000000" w:rsidRPr="00525CC3" w:rsidP="00525CC3">
            <w:pPr>
              <w:pStyle w:val="BodyText"/>
            </w:pPr>
            <w:r w:rsidRPr="00525CC3">
              <w:t>5.8 Deconta</w:t>
            </w:r>
            <w:r w:rsidRPr="00525CC3">
              <w:t>minate the denture framework according to infection control guidelines</w:t>
            </w:r>
          </w:p>
          <w:p w:rsidR="00000000" w:rsidRPr="00525CC3" w:rsidP="00525CC3">
            <w:pPr>
              <w:pStyle w:val="BodyText"/>
            </w:pPr>
            <w:r w:rsidRPr="00525CC3">
              <w:t>5.9 Dry the denture framework, replace on model and place in a sealed container for dispatch</w:t>
            </w:r>
          </w:p>
        </w:tc>
      </w:tr>
    </w:tbl>
    <w:p w:rsidR="00000000" w:rsidRPr="00525CC3" w:rsidP="00525CC3">
      <w:pPr>
        <w:pStyle w:val="BodyText"/>
      </w:pPr>
    </w:p>
    <w:p w:rsidR="00000000" w:rsidRPr="00525CC3" w:rsidP="00525CC3">
      <w:pPr>
        <w:pStyle w:val="AllowPageBreak"/>
      </w:pPr>
    </w:p>
    <w:p w:rsidR="00000000" w:rsidRPr="00525CC3" w:rsidP="00525CC3">
      <w:pPr>
        <w:pStyle w:val="Heading1"/>
      </w:pPr>
      <w:bookmarkStart w:id="4" w:name="O_819984"/>
      <w:bookmarkEnd w:id="4"/>
      <w:r w:rsidRPr="00525C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A7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C3">
            <w:pPr>
              <w:pStyle w:val="BodyText"/>
              <w:rPr>
                <w:lang w:val="en-NZ"/>
              </w:rPr>
            </w:pPr>
            <w:r w:rsidRPr="00525CC3">
              <w:rPr>
                <w:rStyle w:val="Emphasis"/>
              </w:rPr>
              <w:t>The Foundation Skills describe those required skills (l</w:t>
            </w:r>
            <w:r w:rsidRPr="00525CC3">
              <w:rPr>
                <w:rStyle w:val="Emphasis"/>
              </w:rPr>
              <w:t xml:space="preserve">anguage, literacy, numeracy and employment skills) that </w:t>
            </w:r>
            <w:r w:rsidRPr="00525CC3">
              <w:t xml:space="preserve">are essential to </w:t>
            </w:r>
            <w:r w:rsidRPr="00525CC3">
              <w:rPr>
                <w:rStyle w:val="Emphasis"/>
              </w:rPr>
              <w:t>performance.</w:t>
            </w:r>
          </w:p>
        </w:tc>
      </w:tr>
      <w:tr w:rsidTr="00AA7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C3" w:rsidP="00525CC3">
            <w:pPr>
              <w:pStyle w:val="BodyText"/>
            </w:pPr>
            <w:r w:rsidRPr="00525CC3">
              <w:t>Foundation skills essential to performance are explicit in the performance criteria of this unit of competency.</w:t>
            </w:r>
          </w:p>
        </w:tc>
      </w:tr>
    </w:tbl>
    <w:p w:rsidR="00AA77AD" w:rsidP="00525CC3">
      <w:pPr>
        <w:pStyle w:val="BodyText"/>
      </w:pPr>
    </w:p>
    <w:p w:rsidR="00AA77AD" w:rsidP="00525CC3">
      <w:pPr>
        <w:pStyle w:val="BodyText"/>
      </w:pPr>
    </w:p>
    <w:p w:rsidR="00000000" w:rsidRPr="00525CC3" w:rsidP="00525CC3">
      <w:pPr>
        <w:pStyle w:val="Heading1"/>
      </w:pPr>
      <w:bookmarkStart w:id="5" w:name="O_819986"/>
      <w:bookmarkEnd w:id="5"/>
      <w:r w:rsidRPr="00525CC3">
        <w:t>Unit Mapping Information</w:t>
      </w:r>
    </w:p>
    <w:p w:rsidR="00000000" w:rsidRPr="00525CC3" w:rsidP="00AA77AD">
      <w:pPr>
        <w:pStyle w:val="BodyText"/>
      </w:pPr>
      <w:r w:rsidRPr="00525CC3">
        <w:t>No Equivalent Unit</w:t>
      </w:r>
    </w:p>
    <w:p w:rsidR="00000000" w:rsidRPr="00525CC3" w:rsidP="00525CC3">
      <w:pPr>
        <w:pStyle w:val="Heading1"/>
      </w:pPr>
      <w:bookmarkStart w:id="6" w:name="O_819993"/>
      <w:bookmarkEnd w:id="6"/>
      <w:r w:rsidRPr="00525CC3">
        <w:t>Links</w:t>
      </w:r>
    </w:p>
    <w:p w:rsidR="00000000" w:rsidRPr="00525CC3" w:rsidP="00AA77AD">
      <w:pPr>
        <w:pStyle w:val="BodyText"/>
      </w:pPr>
      <w:r w:rsidRPr="00525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D4C6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5CC3" w:rsidP="00525CC3"/>
    <w:sectPr w:rsidSect="00525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3" w:rsidRPr="00AA77AD" w:rsidP="00AA7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AD" w:rsidP="00525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7AD" w:rsidP="00525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77AD" w:rsidP="00525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CC3" w:rsidRPr="00AA77AD" w:rsidP="00AA7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AD" w:rsidRPr="002D2AF8" w:rsidP="00525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HLTDET008 Construct cast alloy removable partial denture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A77AD" w:rsidP="00525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CC3"/>
  </w:style>
  <w:style w:type="character" w:customStyle="1" w:styleId="Heading1Char">
    <w:name w:val="Heading 1 Char"/>
    <w:basedOn w:val="DefaultParagraphFont"/>
    <w:link w:val="Heading1"/>
    <w:rsid w:val="00525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C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5CC3"/>
    <w:rPr>
      <w:b/>
      <w:spacing w:val="0"/>
    </w:rPr>
  </w:style>
  <w:style w:type="character" w:styleId="Emphasis">
    <w:name w:val="Emphasis"/>
    <w:basedOn w:val="DefaultParagraphFont"/>
    <w:qFormat/>
    <w:rsid w:val="00525CC3"/>
    <w:rPr>
      <w:i/>
    </w:rPr>
  </w:style>
  <w:style w:type="paragraph" w:customStyle="1" w:styleId="SuperHeading">
    <w:name w:val="SuperHeading"/>
    <w:basedOn w:val="Normal"/>
    <w:rsid w:val="00525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C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C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C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CC3"/>
  </w:style>
  <w:style w:type="paragraph" w:styleId="TableofFigures">
    <w:name w:val="table of figures"/>
    <w:basedOn w:val="Normal"/>
    <w:next w:val="Normal"/>
    <w:semiHidden/>
    <w:rsid w:val="00525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C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5CC3"/>
    <w:rPr>
      <w:rFonts w:ascii="Wingdings" w:hAnsi="Wingdings"/>
    </w:rPr>
  </w:style>
  <w:style w:type="paragraph" w:customStyle="1" w:styleId="TableHeading">
    <w:name w:val="Table Heading"/>
    <w:basedOn w:val="HeadingBase"/>
    <w:rsid w:val="00525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CC3"/>
    <w:rPr>
      <w:color w:val="0033CC"/>
      <w:u w:val="none"/>
    </w:rPr>
  </w:style>
  <w:style w:type="paragraph" w:customStyle="1" w:styleId="BodyTextRight">
    <w:name w:val="Body Text Right"/>
    <w:basedOn w:val="BodyText"/>
    <w:rsid w:val="00525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C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CC3"/>
    <w:rPr>
      <w:sz w:val="32"/>
    </w:rPr>
  </w:style>
  <w:style w:type="paragraph" w:customStyle="1" w:styleId="HeadingProcedure">
    <w:name w:val="Heading Procedure"/>
    <w:basedOn w:val="HeadingBase"/>
    <w:next w:val="Normal"/>
    <w:rsid w:val="00525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CC3"/>
    <w:pPr>
      <w:spacing w:before="60" w:after="60"/>
    </w:pPr>
  </w:style>
  <w:style w:type="paragraph" w:styleId="ListContinue">
    <w:name w:val="List Continue"/>
    <w:basedOn w:val="List"/>
    <w:rsid w:val="00525CC3"/>
    <w:pPr>
      <w:ind w:firstLine="0"/>
    </w:pPr>
  </w:style>
  <w:style w:type="paragraph" w:customStyle="1" w:styleId="ListNote">
    <w:name w:val="List Note"/>
    <w:basedOn w:val="List"/>
    <w:rsid w:val="00525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CC3"/>
    <w:rPr>
      <w:rFonts w:ascii="Courier New" w:hAnsi="Courier New"/>
    </w:rPr>
  </w:style>
  <w:style w:type="paragraph" w:customStyle="1" w:styleId="NoteBullet">
    <w:name w:val="Note Bullet"/>
    <w:basedOn w:val="Note"/>
    <w:rsid w:val="00525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C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5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CC3"/>
    <w:rPr>
      <w:b/>
      <w:smallCaps/>
    </w:rPr>
  </w:style>
  <w:style w:type="paragraph" w:customStyle="1" w:styleId="TableListNumber">
    <w:name w:val="Table List Number"/>
    <w:basedOn w:val="ListNumber"/>
    <w:rsid w:val="00525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CC3"/>
    <w:pPr>
      <w:numPr>
        <w:numId w:val="7"/>
      </w:numPr>
    </w:pPr>
  </w:style>
  <w:style w:type="paragraph" w:customStyle="1" w:styleId="ListAlpha2">
    <w:name w:val="List Alpha 2"/>
    <w:basedOn w:val="List2"/>
    <w:rsid w:val="00525CC3"/>
    <w:pPr>
      <w:numPr>
        <w:numId w:val="6"/>
      </w:numPr>
    </w:pPr>
  </w:style>
  <w:style w:type="paragraph" w:styleId="List2">
    <w:name w:val="List 2"/>
    <w:basedOn w:val="BodyText"/>
    <w:rsid w:val="00525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C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C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5CC3"/>
    <w:pPr>
      <w:numPr>
        <w:numId w:val="2"/>
      </w:numPr>
    </w:pPr>
  </w:style>
  <w:style w:type="paragraph" w:styleId="ListContinue2">
    <w:name w:val="List Continue 2"/>
    <w:basedOn w:val="List2"/>
    <w:rsid w:val="00525CC3"/>
    <w:pPr>
      <w:ind w:firstLine="0"/>
    </w:pPr>
  </w:style>
  <w:style w:type="paragraph" w:styleId="ListContinue3">
    <w:name w:val="List Continue 3"/>
    <w:basedOn w:val="List3"/>
    <w:rsid w:val="00525CC3"/>
    <w:pPr>
      <w:ind w:left="1021" w:firstLine="0"/>
    </w:pPr>
  </w:style>
  <w:style w:type="paragraph" w:styleId="ListContinue4">
    <w:name w:val="List Continue 4"/>
    <w:basedOn w:val="List4"/>
    <w:rsid w:val="00525CC3"/>
    <w:pPr>
      <w:ind w:firstLine="0"/>
    </w:pPr>
  </w:style>
  <w:style w:type="paragraph" w:styleId="ListContinue5">
    <w:name w:val="List Continue 5"/>
    <w:basedOn w:val="List5"/>
    <w:rsid w:val="00525CC3"/>
    <w:pPr>
      <w:ind w:firstLine="0"/>
    </w:pPr>
  </w:style>
  <w:style w:type="paragraph" w:styleId="ListNumber3">
    <w:name w:val="List Number 3"/>
    <w:basedOn w:val="List3"/>
    <w:rsid w:val="00525CC3"/>
    <w:pPr>
      <w:numPr>
        <w:numId w:val="3"/>
      </w:numPr>
    </w:pPr>
  </w:style>
  <w:style w:type="paragraph" w:styleId="ListNumber4">
    <w:name w:val="List Number 4"/>
    <w:basedOn w:val="List4"/>
    <w:rsid w:val="00525CC3"/>
    <w:pPr>
      <w:numPr>
        <w:numId w:val="4"/>
      </w:numPr>
    </w:pPr>
  </w:style>
  <w:style w:type="paragraph" w:styleId="ListNumber5">
    <w:name w:val="List Number 5"/>
    <w:basedOn w:val="List5"/>
    <w:rsid w:val="00525CC3"/>
    <w:pPr>
      <w:numPr>
        <w:numId w:val="5"/>
      </w:numPr>
    </w:pPr>
  </w:style>
  <w:style w:type="paragraph" w:styleId="BlockText">
    <w:name w:val="Block Text"/>
    <w:basedOn w:val="Normal"/>
    <w:rsid w:val="00525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CC3"/>
    <w:rPr>
      <w:sz w:val="16"/>
      <w:vertAlign w:val="superscript"/>
    </w:rPr>
  </w:style>
  <w:style w:type="character" w:customStyle="1" w:styleId="Symbols">
    <w:name w:val="Symbols"/>
    <w:basedOn w:val="DefaultParagraphFont"/>
    <w:rsid w:val="00525CC3"/>
    <w:rPr>
      <w:rFonts w:ascii="Symbol" w:hAnsi="Symbol"/>
    </w:rPr>
  </w:style>
  <w:style w:type="character" w:customStyle="1" w:styleId="MenuOptions">
    <w:name w:val="Menu Options"/>
    <w:basedOn w:val="DefaultParagraphFont"/>
    <w:rsid w:val="00525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CC3"/>
    <w:rPr>
      <w:b/>
    </w:rPr>
  </w:style>
  <w:style w:type="character" w:customStyle="1" w:styleId="Underlined">
    <w:name w:val="Underlined"/>
    <w:basedOn w:val="DefaultParagraphFont"/>
    <w:rsid w:val="00525CC3"/>
    <w:rPr>
      <w:u w:val="single"/>
    </w:rPr>
  </w:style>
  <w:style w:type="paragraph" w:customStyle="1" w:styleId="TableBodyTextRight">
    <w:name w:val="Table Body Text Right"/>
    <w:basedOn w:val="TableBodyText"/>
    <w:rsid w:val="00525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CC3"/>
    <w:rPr>
      <w:sz w:val="18"/>
    </w:rPr>
  </w:style>
  <w:style w:type="paragraph" w:customStyle="1" w:styleId="BodySmallRight">
    <w:name w:val="Body Small Right"/>
    <w:basedOn w:val="BodyTextRight"/>
    <w:rsid w:val="00525CC3"/>
    <w:rPr>
      <w:sz w:val="18"/>
      <w:szCs w:val="18"/>
    </w:rPr>
  </w:style>
  <w:style w:type="paragraph" w:customStyle="1" w:styleId="MarginEdition">
    <w:name w:val="Margin Edition"/>
    <w:basedOn w:val="MarginNote"/>
    <w:rsid w:val="00525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CC3"/>
    <w:rPr>
      <w:sz w:val="2"/>
      <w:szCs w:val="2"/>
    </w:rPr>
  </w:style>
  <w:style w:type="character" w:customStyle="1" w:styleId="Small">
    <w:name w:val="Small"/>
    <w:basedOn w:val="DefaultParagraphFont"/>
    <w:rsid w:val="00525CC3"/>
    <w:rPr>
      <w:sz w:val="16"/>
    </w:rPr>
  </w:style>
  <w:style w:type="paragraph" w:customStyle="1" w:styleId="WideTable">
    <w:name w:val="Wide Table"/>
    <w:basedOn w:val="Normal"/>
    <w:rsid w:val="00525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CC3"/>
  </w:style>
  <w:style w:type="paragraph" w:styleId="Quote">
    <w:name w:val="Quote"/>
    <w:basedOn w:val="Heading1"/>
    <w:link w:val="QuoteChar"/>
    <w:qFormat/>
    <w:rsid w:val="00525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CC3"/>
    <w:pPr>
      <w:pageBreakBefore/>
    </w:pPr>
  </w:style>
  <w:style w:type="paragraph" w:customStyle="1" w:styleId="Border">
    <w:name w:val="Border"/>
    <w:basedOn w:val="Normal"/>
    <w:qFormat/>
    <w:rsid w:val="00525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CC3"/>
    <w:rPr>
      <w:u w:val="single"/>
    </w:rPr>
  </w:style>
  <w:style w:type="character" w:customStyle="1" w:styleId="BoldandItalics">
    <w:name w:val="Bold and Italics"/>
    <w:qFormat/>
    <w:rsid w:val="00525CC3"/>
    <w:rPr>
      <w:b/>
      <w:i/>
      <w:u w:val="none"/>
    </w:rPr>
  </w:style>
  <w:style w:type="paragraph" w:styleId="BalloonText">
    <w:name w:val="Balloon Text"/>
    <w:basedOn w:val="Normal"/>
    <w:link w:val="BalloonTextChar"/>
    <w:rsid w:val="00525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CC3"/>
    <w:pPr>
      <w:spacing w:before="0" w:after="0"/>
    </w:pPr>
  </w:style>
  <w:style w:type="paragraph" w:customStyle="1" w:styleId="BodyTextBold">
    <w:name w:val="Body Text Bold"/>
    <w:basedOn w:val="BodyText"/>
    <w:qFormat/>
    <w:rsid w:val="00525CC3"/>
    <w:rPr>
      <w:b/>
    </w:rPr>
  </w:style>
  <w:style w:type="character" w:styleId="Hyperlink">
    <w:name w:val="Hyperlink"/>
    <w:basedOn w:val="DefaultParagraphFont"/>
    <w:uiPriority w:val="99"/>
    <w:unhideWhenUsed/>
    <w:rsid w:val="00AA7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3718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HLTDET008 Construct cast alloy removable partial denture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