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5B4" w:rsidP="002F75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HLTDET007 Construct removable acrylic partial dentures</w:t>
      </w:r>
      <w:r>
        <w:fldChar w:fldCharType="end"/>
      </w:r>
    </w:p>
    <w:p w:rsidR="002F75B4" w:rsidP="002F75B4">
      <w:pPr>
        <w:pStyle w:val="Version"/>
        <w:sectPr w:rsidSect="00196A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6AAB" w:rsidP="00196AAB">
      <w:pPr>
        <w:pStyle w:val="SuperHeading"/>
      </w:pPr>
      <w:r w:rsidRPr="00196AAB">
        <w:t>HLTDET007 Construct removable acrylic partial dentures</w:t>
      </w:r>
    </w:p>
    <w:p w:rsidR="00000000" w:rsidRPr="00196AAB" w:rsidP="00196AAB">
      <w:pPr>
        <w:pStyle w:val="Heading1"/>
      </w:pPr>
      <w:bookmarkStart w:id="1" w:name="O_819940"/>
      <w:bookmarkEnd w:id="1"/>
      <w:r w:rsidRPr="00196AA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2F75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AB">
            <w:pPr>
              <w:pStyle w:val="BodyText"/>
              <w:rPr>
                <w:lang w:val="en-NZ"/>
              </w:rPr>
            </w:pPr>
            <w:r w:rsidRPr="00196AAB">
              <w:t xml:space="preserve">Release </w:t>
            </w:r>
            <w:r w:rsidRPr="00196AAB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AB">
            <w:pPr>
              <w:pStyle w:val="BodyText"/>
              <w:rPr>
                <w:lang w:val="en-NZ"/>
              </w:rPr>
            </w:pPr>
            <w:r w:rsidRPr="00196AAB">
              <w:t xml:space="preserve">Comments </w:t>
            </w:r>
          </w:p>
        </w:tc>
      </w:tr>
      <w:tr w:rsidTr="002F75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AB">
            <w:pPr>
              <w:pStyle w:val="BodyText"/>
              <w:rPr>
                <w:lang w:val="en-NZ"/>
              </w:rPr>
            </w:pPr>
            <w:r w:rsidRPr="00196AAB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AB" w:rsidP="00196AAB">
            <w:pPr>
              <w:pStyle w:val="BodyText"/>
            </w:pPr>
            <w:r w:rsidRPr="00196AAB">
              <w:t xml:space="preserve">This version was released in </w:t>
            </w:r>
            <w:r w:rsidRPr="00196AAB">
              <w:rPr>
                <w:rStyle w:val="Emphasis"/>
              </w:rPr>
              <w:t>HLT Health Training Package release 3.0</w:t>
            </w:r>
            <w:r w:rsidRPr="00196AAB">
              <w:t xml:space="preserve"> and meets the requirements of the 2012 Standards for Training Packages.</w:t>
            </w:r>
          </w:p>
          <w:p w:rsidR="00000000" w:rsidRPr="00196AAB" w:rsidP="00196AAB">
            <w:pPr>
              <w:pStyle w:val="BodyText"/>
            </w:pPr>
            <w:r w:rsidRPr="00196AAB">
              <w:t>Minimal changes to the elements and performance</w:t>
            </w:r>
            <w:r w:rsidRPr="00196AAB">
              <w:t xml:space="preserve"> criteria. New evidence requirements for assessment including volume and frequency requirements. Removal of pre-requisites</w:t>
            </w:r>
          </w:p>
          <w:p w:rsidR="00000000" w:rsidRPr="00196AAB" w:rsidP="00196AAB">
            <w:pPr>
              <w:pStyle w:val="BodyText"/>
            </w:pPr>
            <w:r w:rsidRPr="00196AAB">
              <w:t>Supersedes HLTDT508C</w:t>
            </w:r>
          </w:p>
        </w:tc>
      </w:tr>
    </w:tbl>
    <w:p w:rsidR="002F75B4" w:rsidP="00196AAB">
      <w:pPr>
        <w:pStyle w:val="BodyText"/>
      </w:pPr>
    </w:p>
    <w:p w:rsidR="002F75B4" w:rsidP="00196AAB">
      <w:pPr>
        <w:pStyle w:val="BodyText"/>
      </w:pPr>
    </w:p>
    <w:p w:rsidR="00000000" w:rsidRPr="00196AAB" w:rsidP="00196AAB">
      <w:pPr>
        <w:pStyle w:val="Heading1"/>
      </w:pPr>
      <w:bookmarkStart w:id="2" w:name="O_819941"/>
      <w:bookmarkEnd w:id="2"/>
      <w:r w:rsidRPr="00196AAB">
        <w:t>Application</w:t>
      </w:r>
    </w:p>
    <w:p w:rsidR="00000000" w:rsidRPr="00196AAB" w:rsidP="002F75B4">
      <w:pPr>
        <w:pStyle w:val="BodyText"/>
      </w:pPr>
      <w:r w:rsidRPr="00196AAB">
        <w:t>This unit of competency describes the skills and knowledge required to construct</w:t>
      </w:r>
      <w:r w:rsidRPr="00196AAB">
        <w:t xml:space="preserve"> removable acrylic partial dentures.</w:t>
      </w:r>
    </w:p>
    <w:p w:rsidR="00000000" w:rsidRPr="00196AAB" w:rsidP="002F75B4">
      <w:pPr>
        <w:pStyle w:val="BodyText"/>
      </w:pPr>
      <w:r w:rsidRPr="00196AAB">
        <w:t>This unit applies to work in dental technology.</w:t>
      </w:r>
    </w:p>
    <w:p w:rsidR="002F75B4" w:rsidRPr="002F75B4" w:rsidP="002F75B4">
      <w:pPr>
        <w:pStyle w:val="BodyText"/>
        <w:rPr>
          <w:i/>
        </w:rPr>
      </w:pPr>
      <w:r w:rsidRPr="002F75B4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2F75B4">
        <w:rPr>
          <w:i/>
        </w:rPr>
        <w:t>.</w:t>
      </w:r>
    </w:p>
    <w:p w:rsidR="00000000" w:rsidRPr="00196AAB" w:rsidP="00196AAB">
      <w:pPr>
        <w:pStyle w:val="Heading1"/>
      </w:pPr>
      <w:bookmarkStart w:id="3" w:name="O_819945"/>
      <w:bookmarkEnd w:id="3"/>
      <w:r w:rsidRPr="00196A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196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AB" w:rsidP="00196AAB">
            <w:pPr>
              <w:pStyle w:val="BodyText"/>
            </w:pPr>
            <w:r w:rsidRPr="00196AAB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AB">
            <w:pPr>
              <w:pStyle w:val="BodyText"/>
              <w:rPr>
                <w:lang w:val="en-NZ"/>
              </w:rPr>
            </w:pPr>
            <w:r w:rsidRPr="00196AAB">
              <w:rPr>
                <w:rStyle w:val="SpecialBold"/>
              </w:rPr>
              <w:t>PERFORMANCE CRITERIA</w:t>
            </w:r>
          </w:p>
        </w:tc>
      </w:tr>
      <w:tr w:rsidTr="00196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AB">
            <w:pPr>
              <w:pStyle w:val="BodyText"/>
              <w:rPr>
                <w:lang w:val="en-NZ"/>
              </w:rPr>
            </w:pPr>
            <w:r w:rsidRPr="00196AAB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AB">
            <w:pPr>
              <w:pStyle w:val="BodyText"/>
              <w:rPr>
                <w:lang w:val="en-NZ"/>
              </w:rPr>
            </w:pPr>
            <w:r w:rsidRPr="00196AAB">
              <w:t>Performance criteria describe the performance needed to demonstrate achievement of the element.</w:t>
            </w:r>
          </w:p>
        </w:tc>
      </w:tr>
      <w:tr w:rsidTr="00196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AB">
            <w:pPr>
              <w:pStyle w:val="BodyText"/>
              <w:rPr>
                <w:lang w:val="en-NZ"/>
              </w:rPr>
            </w:pPr>
            <w:r w:rsidRPr="00196AAB">
              <w:t>1. Design acrylic</w:t>
            </w:r>
            <w:r w:rsidRPr="00196AAB">
              <w:rPr>
                <w:rStyle w:val="SpecialBold"/>
              </w:rPr>
              <w:t xml:space="preserve"> </w:t>
            </w:r>
            <w:r w:rsidRPr="00196AAB">
              <w:t>removable partial denture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AB" w:rsidP="00196AAB">
            <w:pPr>
              <w:pStyle w:val="BodyText"/>
            </w:pPr>
            <w:r w:rsidRPr="00196AAB">
              <w:t>1.1 Confirm the survey of the model carried out by the operator</w:t>
            </w:r>
          </w:p>
          <w:p w:rsidR="00000000" w:rsidRPr="00196AAB" w:rsidP="00196AAB">
            <w:pPr>
              <w:pStyle w:val="BodyText"/>
            </w:pPr>
            <w:r w:rsidRPr="00196AAB">
              <w:t>1.2 Confirm design and transfer to master model</w:t>
            </w:r>
          </w:p>
          <w:p w:rsidR="00000000" w:rsidRPr="00196AAB" w:rsidP="00196AAB">
            <w:pPr>
              <w:pStyle w:val="BodyText"/>
            </w:pPr>
            <w:r w:rsidRPr="00196AAB">
              <w:t>1.3 Block-out undesirable undercuts</w:t>
            </w:r>
          </w:p>
          <w:p w:rsidR="00000000" w:rsidRPr="00196AAB" w:rsidP="00196AAB">
            <w:pPr>
              <w:pStyle w:val="BodyText"/>
            </w:pPr>
            <w:r w:rsidRPr="00196AAB">
              <w:t>1.4 Scribe food lines</w:t>
            </w:r>
          </w:p>
          <w:p w:rsidR="00000000" w:rsidRPr="00196AAB" w:rsidP="00196AAB">
            <w:pPr>
              <w:pStyle w:val="BodyText"/>
            </w:pPr>
            <w:r w:rsidRPr="00196AAB">
              <w:t>1.5 Duplicate master model to create a working model</w:t>
            </w:r>
          </w:p>
          <w:p w:rsidR="00000000" w:rsidP="00196AAB">
            <w:pPr>
              <w:pStyle w:val="BodyText"/>
              <w:rPr>
                <w:lang w:val="en-NZ"/>
              </w:rPr>
            </w:pPr>
          </w:p>
        </w:tc>
      </w:tr>
      <w:tr w:rsidTr="00196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AB">
            <w:pPr>
              <w:pStyle w:val="BodyText"/>
              <w:rPr>
                <w:lang w:val="en-NZ"/>
              </w:rPr>
            </w:pPr>
            <w:r w:rsidRPr="00196AAB">
              <w:t>2. Se</w:t>
            </w:r>
            <w:r w:rsidRPr="00196AAB">
              <w:t>lect and prepare materials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AB" w:rsidP="00196AAB">
            <w:pPr>
              <w:pStyle w:val="BodyText"/>
            </w:pPr>
            <w:r w:rsidRPr="00196AAB">
              <w:t>2.1 Select materials according to laboratory work order</w:t>
            </w:r>
          </w:p>
          <w:p w:rsidR="00000000" w:rsidRPr="00196AAB" w:rsidP="00196AAB">
            <w:pPr>
              <w:pStyle w:val="BodyText"/>
            </w:pPr>
            <w:r w:rsidRPr="00196AAB">
              <w:t>2.2 Establish shape and dimension of component parts from design</w:t>
            </w:r>
          </w:p>
          <w:p w:rsidR="00000000" w:rsidP="00196AAB">
            <w:pPr>
              <w:pStyle w:val="BodyText"/>
              <w:rPr>
                <w:lang w:val="en-NZ"/>
              </w:rPr>
            </w:pPr>
          </w:p>
        </w:tc>
      </w:tr>
      <w:tr w:rsidTr="00196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AB">
            <w:pPr>
              <w:pStyle w:val="BodyText"/>
              <w:rPr>
                <w:lang w:val="en-NZ"/>
              </w:rPr>
            </w:pPr>
            <w:r w:rsidRPr="00196AAB">
              <w:t>3. Arrange artificial teeth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AB" w:rsidP="00196AAB">
            <w:pPr>
              <w:pStyle w:val="BodyText"/>
            </w:pPr>
            <w:r w:rsidRPr="00196AAB">
              <w:t>3.1 Select teeth and position in wax to establish aesthetics and function</w:t>
            </w:r>
          </w:p>
          <w:p w:rsidR="00000000" w:rsidRPr="00196AAB" w:rsidP="00196AAB">
            <w:pPr>
              <w:pStyle w:val="BodyText"/>
            </w:pPr>
            <w:r w:rsidRPr="00196AAB">
              <w:t>3.2 Contour wax so that denture is suitable for try-in.</w:t>
            </w:r>
          </w:p>
          <w:p w:rsidR="00000000" w:rsidRPr="00196AAB" w:rsidP="00196AAB">
            <w:pPr>
              <w:pStyle w:val="BodyText"/>
            </w:pPr>
            <w:r w:rsidRPr="00196AAB">
              <w:t>3.3 Decontaminate denture according to infection control guidelines and place in a suitable container for dispatch</w:t>
            </w:r>
          </w:p>
          <w:p w:rsidR="00000000" w:rsidP="00196AAB">
            <w:pPr>
              <w:pStyle w:val="BodyText"/>
              <w:rPr>
                <w:lang w:val="en-NZ"/>
              </w:rPr>
            </w:pPr>
          </w:p>
        </w:tc>
      </w:tr>
      <w:tr w:rsidTr="00196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AB">
            <w:pPr>
              <w:pStyle w:val="BodyText"/>
              <w:rPr>
                <w:lang w:val="en-NZ"/>
              </w:rPr>
            </w:pPr>
            <w:r w:rsidRPr="00196AAB">
              <w:t>4. Construct retainer units.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AB" w:rsidP="00196AAB">
            <w:pPr>
              <w:pStyle w:val="BodyText"/>
            </w:pPr>
            <w:r w:rsidRPr="00196AAB">
              <w:t>4.1 Construct components as required</w:t>
            </w:r>
          </w:p>
          <w:p w:rsidR="00000000" w:rsidRPr="00196AAB" w:rsidP="00196AAB">
            <w:pPr>
              <w:pStyle w:val="BodyText"/>
            </w:pPr>
            <w:r w:rsidRPr="00196AAB">
              <w:t>4.2 Join componen</w:t>
            </w:r>
            <w:r w:rsidRPr="00196AAB">
              <w:t>ts as required</w:t>
            </w:r>
          </w:p>
          <w:p w:rsidR="00000000" w:rsidRPr="00196AAB" w:rsidP="00196AAB">
            <w:pPr>
              <w:pStyle w:val="BodyText"/>
            </w:pPr>
            <w:r w:rsidRPr="00196AAB">
              <w:t>4.3 Secure teeth and components in wax</w:t>
            </w:r>
          </w:p>
          <w:p w:rsidR="00000000" w:rsidRPr="00196AAB" w:rsidP="00196AAB">
            <w:pPr>
              <w:pStyle w:val="BodyText"/>
            </w:pPr>
            <w:r w:rsidRPr="00196AAB">
              <w:t>4.4 Contour facial and lingual aspects</w:t>
            </w:r>
          </w:p>
          <w:p w:rsidR="00000000" w:rsidRPr="00196AAB" w:rsidP="00196AAB">
            <w:pPr>
              <w:pStyle w:val="BodyText"/>
            </w:pPr>
            <w:r w:rsidRPr="00196AAB">
              <w:t>4.5 Secure appliance for processing</w:t>
            </w:r>
          </w:p>
          <w:p w:rsidR="00000000" w:rsidP="00196AAB">
            <w:pPr>
              <w:pStyle w:val="BodyText"/>
              <w:rPr>
                <w:lang w:val="en-NZ"/>
              </w:rPr>
            </w:pPr>
          </w:p>
        </w:tc>
      </w:tr>
      <w:tr w:rsidTr="00196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AB">
            <w:pPr>
              <w:pStyle w:val="BodyText"/>
              <w:rPr>
                <w:lang w:val="en-NZ"/>
              </w:rPr>
            </w:pPr>
            <w:r w:rsidRPr="00196AAB">
              <w:t>5. Select and prepare materials and processing technique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AB" w:rsidP="00196AAB">
            <w:pPr>
              <w:pStyle w:val="BodyText"/>
            </w:pPr>
            <w:r w:rsidRPr="00196AAB">
              <w:t>5.1 Identify the appropriate polymer system for case</w:t>
            </w:r>
          </w:p>
          <w:p w:rsidR="00000000" w:rsidRPr="00196AAB" w:rsidP="00196AAB">
            <w:pPr>
              <w:pStyle w:val="BodyText"/>
            </w:pPr>
            <w:r w:rsidRPr="00196AAB">
              <w:t>5.2 Identify th</w:t>
            </w:r>
            <w:r w:rsidRPr="00196AAB">
              <w:t>e appropriate investment technique</w:t>
            </w:r>
          </w:p>
          <w:p w:rsidR="00000000" w:rsidRPr="00196AAB" w:rsidP="00196AAB">
            <w:pPr>
              <w:pStyle w:val="BodyText"/>
            </w:pPr>
            <w:r w:rsidRPr="00196AAB">
              <w:t>5.3 Identify the appropriate processing cycle</w:t>
            </w:r>
          </w:p>
          <w:p w:rsidR="00000000" w:rsidRPr="00196AAB" w:rsidP="00196AAB">
            <w:pPr>
              <w:pStyle w:val="BodyText"/>
            </w:pPr>
            <w:r w:rsidRPr="00196AAB">
              <w:t>5.4 Select polymeric material to construct the prosthesis</w:t>
            </w:r>
          </w:p>
          <w:p w:rsidR="00000000" w:rsidRPr="00196AAB" w:rsidP="00196AAB">
            <w:pPr>
              <w:pStyle w:val="BodyText"/>
            </w:pPr>
            <w:r w:rsidRPr="00196AAB">
              <w:t>5.5 Prepare system components in accordance with manufacturers’ instructions</w:t>
            </w:r>
          </w:p>
          <w:p w:rsidR="00000000" w:rsidRPr="00196AAB" w:rsidP="00196AAB">
            <w:pPr>
              <w:pStyle w:val="BodyText"/>
            </w:pPr>
            <w:r w:rsidRPr="00196AAB">
              <w:t>5.6 Allow materials to reach application</w:t>
            </w:r>
            <w:r w:rsidRPr="00196AAB">
              <w:t xml:space="preserve"> stage</w:t>
            </w:r>
          </w:p>
          <w:p w:rsidR="00000000" w:rsidP="00196AAB">
            <w:pPr>
              <w:pStyle w:val="BodyText"/>
              <w:rPr>
                <w:lang w:val="en-NZ"/>
              </w:rPr>
            </w:pPr>
          </w:p>
        </w:tc>
      </w:tr>
      <w:tr w:rsidTr="00196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AB">
            <w:pPr>
              <w:pStyle w:val="BodyText"/>
              <w:rPr>
                <w:lang w:val="en-NZ"/>
              </w:rPr>
            </w:pPr>
            <w:r w:rsidRPr="00196AAB">
              <w:t>6. Process denture or appliance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AB" w:rsidP="00196AAB">
            <w:pPr>
              <w:pStyle w:val="BodyText"/>
            </w:pPr>
            <w:r w:rsidRPr="00196AAB">
              <w:t>6.1 Apply appropriate investment techniques</w:t>
            </w:r>
          </w:p>
          <w:p w:rsidR="00000000" w:rsidRPr="00196AAB" w:rsidP="00196AAB">
            <w:pPr>
              <w:pStyle w:val="BodyText"/>
            </w:pPr>
            <w:r w:rsidRPr="00196AAB">
              <w:t>6.2 Apply material to investment mould</w:t>
            </w:r>
          </w:p>
          <w:p w:rsidR="00000000" w:rsidRPr="00196AAB" w:rsidP="00196AAB">
            <w:pPr>
              <w:pStyle w:val="BodyText"/>
            </w:pPr>
            <w:r w:rsidRPr="00196AAB">
              <w:t>6.3 Process the polymeric material for the correct length of time at the correct temperature</w:t>
            </w:r>
          </w:p>
          <w:p w:rsidR="00000000" w:rsidRPr="00196AAB" w:rsidP="00196AAB">
            <w:pPr>
              <w:pStyle w:val="BodyText"/>
            </w:pPr>
            <w:r w:rsidRPr="00196AAB">
              <w:t>6.4 Devest model and remove any processing irregularities and sharp edges before fitting onto master model</w:t>
            </w:r>
          </w:p>
          <w:p w:rsidR="00000000" w:rsidRPr="00196AAB" w:rsidP="00196AAB">
            <w:pPr>
              <w:pStyle w:val="BodyText"/>
            </w:pPr>
            <w:r w:rsidRPr="00196AAB">
              <w:t>6.5 Confirm accuracy of retainer units</w:t>
            </w:r>
          </w:p>
          <w:p w:rsidR="00000000" w:rsidP="00196AAB">
            <w:pPr>
              <w:pStyle w:val="BodyText"/>
              <w:rPr>
                <w:lang w:val="en-NZ"/>
              </w:rPr>
            </w:pPr>
          </w:p>
        </w:tc>
      </w:tr>
      <w:tr w:rsidTr="00196A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AB">
            <w:pPr>
              <w:pStyle w:val="BodyText"/>
              <w:rPr>
                <w:lang w:val="en-NZ"/>
              </w:rPr>
            </w:pPr>
            <w:r w:rsidRPr="00196AAB">
              <w:t>7. Finish denture or appliance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AB" w:rsidP="00196AAB">
            <w:pPr>
              <w:pStyle w:val="BodyText"/>
            </w:pPr>
            <w:r w:rsidRPr="00196AAB">
              <w:t>7.1 Reposition models on the articulator where possible</w:t>
            </w:r>
          </w:p>
          <w:p w:rsidR="00000000" w:rsidRPr="00196AAB" w:rsidP="00196AAB">
            <w:pPr>
              <w:pStyle w:val="BodyText"/>
            </w:pPr>
            <w:r w:rsidRPr="00196AAB">
              <w:t>7.2 Assess the articu</w:t>
            </w:r>
            <w:r w:rsidRPr="00196AAB">
              <w:t>lated prosthesis and confirm that articulation is appropriate where possible</w:t>
            </w:r>
          </w:p>
          <w:p w:rsidR="00000000" w:rsidRPr="00196AAB" w:rsidP="00196AAB">
            <w:pPr>
              <w:pStyle w:val="BodyText"/>
            </w:pPr>
            <w:r w:rsidRPr="00196AAB">
              <w:t>7.3 Make any necessary adjustments to maintain original vertical dimension</w:t>
            </w:r>
          </w:p>
          <w:p w:rsidR="00000000" w:rsidRPr="00196AAB" w:rsidP="00196AAB">
            <w:pPr>
              <w:pStyle w:val="BodyText"/>
            </w:pPr>
            <w:r w:rsidRPr="00196AAB">
              <w:t>7.4 Polish the non-fitting surface of the prosthesis to create a smooth high shined surface</w:t>
            </w:r>
          </w:p>
          <w:p w:rsidR="00000000" w:rsidRPr="00196AAB" w:rsidP="00196AAB">
            <w:pPr>
              <w:pStyle w:val="BodyText"/>
            </w:pPr>
            <w:r w:rsidRPr="00196AAB">
              <w:t>7.5 Evaluate</w:t>
            </w:r>
            <w:r w:rsidRPr="00196AAB">
              <w:t xml:space="preserve"> the finished prosthesis</w:t>
            </w:r>
          </w:p>
          <w:p w:rsidR="00000000" w:rsidRPr="00196AAB" w:rsidP="00196AAB">
            <w:pPr>
              <w:pStyle w:val="BodyText"/>
            </w:pPr>
            <w:r w:rsidRPr="00196AAB">
              <w:t>7.6 Decontaminate the finished prosthesis in accordance to infection control procedures</w:t>
            </w:r>
          </w:p>
          <w:p w:rsidR="00000000" w:rsidRPr="00196AAB" w:rsidP="00196AAB">
            <w:pPr>
              <w:pStyle w:val="BodyText"/>
            </w:pPr>
            <w:r w:rsidRPr="00196AAB">
              <w:t>7.7 Place in a sealed container ready for dispatch</w:t>
            </w:r>
          </w:p>
        </w:tc>
      </w:tr>
    </w:tbl>
    <w:p w:rsidR="00000000" w:rsidRPr="00196AAB" w:rsidP="00196AAB">
      <w:pPr>
        <w:pStyle w:val="BodyText"/>
      </w:pPr>
    </w:p>
    <w:p w:rsidR="00000000" w:rsidRPr="00196AAB" w:rsidP="00196AAB">
      <w:pPr>
        <w:pStyle w:val="AllowPageBreak"/>
      </w:pPr>
    </w:p>
    <w:p w:rsidR="00000000" w:rsidRPr="00196AAB" w:rsidP="00196AAB">
      <w:pPr>
        <w:pStyle w:val="Heading1"/>
      </w:pPr>
      <w:bookmarkStart w:id="4" w:name="O_819946"/>
      <w:bookmarkEnd w:id="4"/>
      <w:r w:rsidRPr="00196AA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2F75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AB">
            <w:pPr>
              <w:pStyle w:val="BodyText"/>
              <w:rPr>
                <w:lang w:val="en-NZ"/>
              </w:rPr>
            </w:pPr>
            <w:r w:rsidRPr="00196AAB">
              <w:rPr>
                <w:rStyle w:val="Emphasis"/>
              </w:rPr>
              <w:t xml:space="preserve">The Foundation Skills describe those required skills (language, literacy, numeracy and employment skills) that </w:t>
            </w:r>
            <w:r w:rsidRPr="00196AAB">
              <w:t xml:space="preserve">are essential to </w:t>
            </w:r>
            <w:r w:rsidRPr="00196AAB">
              <w:rPr>
                <w:rStyle w:val="Emphasis"/>
              </w:rPr>
              <w:t>performance.</w:t>
            </w:r>
          </w:p>
        </w:tc>
      </w:tr>
      <w:tr w:rsidTr="002F75B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AB" w:rsidP="00196AAB">
            <w:pPr>
              <w:pStyle w:val="BodyText"/>
            </w:pPr>
            <w:r w:rsidRPr="00196AAB">
              <w:t>Foundation skills essential to performance are explicit in the performance criteria of this unit of competency.</w:t>
            </w:r>
          </w:p>
        </w:tc>
      </w:tr>
    </w:tbl>
    <w:p w:rsidR="002F75B4" w:rsidP="00196AAB">
      <w:pPr>
        <w:pStyle w:val="BodyText"/>
      </w:pPr>
    </w:p>
    <w:p w:rsidR="002F75B4" w:rsidP="00196AAB">
      <w:pPr>
        <w:pStyle w:val="BodyText"/>
      </w:pPr>
    </w:p>
    <w:p w:rsidR="00000000" w:rsidRPr="00196AAB" w:rsidP="00196AAB">
      <w:pPr>
        <w:pStyle w:val="Heading1"/>
      </w:pPr>
      <w:bookmarkStart w:id="5" w:name="O_819948"/>
      <w:bookmarkEnd w:id="5"/>
      <w:r w:rsidRPr="00196AAB">
        <w:t>Unit Mapping Information</w:t>
      </w:r>
    </w:p>
    <w:p w:rsidR="00000000" w:rsidRPr="00196AAB" w:rsidP="002F75B4">
      <w:pPr>
        <w:pStyle w:val="BodyText"/>
      </w:pPr>
      <w:r w:rsidRPr="00196AAB">
        <w:t xml:space="preserve">No Equivalent Unit </w:t>
      </w:r>
    </w:p>
    <w:p w:rsidR="00000000" w:rsidRPr="00196AAB" w:rsidP="00196AAB">
      <w:pPr>
        <w:pStyle w:val="Heading1"/>
      </w:pPr>
      <w:bookmarkStart w:id="6" w:name="O_819955"/>
      <w:bookmarkEnd w:id="6"/>
      <w:r w:rsidRPr="00196AAB">
        <w:t>Links</w:t>
      </w:r>
    </w:p>
    <w:p w:rsidR="00000000" w:rsidRPr="00196AAB" w:rsidP="002F75B4">
      <w:pPr>
        <w:pStyle w:val="BodyText"/>
      </w:pPr>
      <w:r w:rsidRPr="00196A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75918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96AAB" w:rsidP="00196AAB"/>
    <w:sectPr w:rsidSect="00196A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A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AAB" w:rsidRPr="002F75B4" w:rsidP="002F75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A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5B4" w:rsidP="00196A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75B4" w:rsidP="00196A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F75B4" w:rsidP="00196A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A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5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6AAB" w:rsidRPr="002F75B4" w:rsidP="002F75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A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5B4" w:rsidRPr="002D2AF8" w:rsidP="00196A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HLTDET007 Construct removable acrylic partial dentures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2F75B4" w:rsidP="00196A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A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6A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6A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6A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6A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6A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6A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6A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6A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6A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6A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6AAB"/>
  </w:style>
  <w:style w:type="character" w:customStyle="1" w:styleId="Heading1Char">
    <w:name w:val="Heading 1 Char"/>
    <w:basedOn w:val="DefaultParagraphFont"/>
    <w:link w:val="Heading1"/>
    <w:rsid w:val="00196A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6A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6AA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96AAB"/>
    <w:rPr>
      <w:b/>
      <w:spacing w:val="0"/>
    </w:rPr>
  </w:style>
  <w:style w:type="character" w:styleId="Emphasis">
    <w:name w:val="Emphasis"/>
    <w:basedOn w:val="DefaultParagraphFont"/>
    <w:qFormat/>
    <w:rsid w:val="00196AAB"/>
    <w:rPr>
      <w:i/>
    </w:rPr>
  </w:style>
  <w:style w:type="paragraph" w:customStyle="1" w:styleId="SuperHeading">
    <w:name w:val="SuperHeading"/>
    <w:basedOn w:val="Normal"/>
    <w:rsid w:val="00196A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6A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6A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6A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6A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6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6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6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6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6A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6A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6A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6A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6A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6A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6A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6A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6A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6A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6A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6A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96AA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96A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6A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6A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6A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6AA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6A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6A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6A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6A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6A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6A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6A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6A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6A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6A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6A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6A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6AAB"/>
  </w:style>
  <w:style w:type="paragraph" w:styleId="TableofFigures">
    <w:name w:val="table of figures"/>
    <w:basedOn w:val="Normal"/>
    <w:next w:val="Normal"/>
    <w:semiHidden/>
    <w:rsid w:val="00196A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6AA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96AAB"/>
    <w:rPr>
      <w:rFonts w:ascii="Wingdings" w:hAnsi="Wingdings"/>
    </w:rPr>
  </w:style>
  <w:style w:type="paragraph" w:customStyle="1" w:styleId="TableHeading">
    <w:name w:val="Table Heading"/>
    <w:basedOn w:val="HeadingBase"/>
    <w:rsid w:val="00196A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6AAB"/>
    <w:rPr>
      <w:color w:val="0033CC"/>
      <w:u w:val="none"/>
    </w:rPr>
  </w:style>
  <w:style w:type="paragraph" w:customStyle="1" w:styleId="BodyTextRight">
    <w:name w:val="Body Text Right"/>
    <w:basedOn w:val="BodyText"/>
    <w:rsid w:val="00196A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6A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6A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6A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6A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6A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6AAB"/>
    <w:rPr>
      <w:sz w:val="32"/>
    </w:rPr>
  </w:style>
  <w:style w:type="paragraph" w:customStyle="1" w:styleId="HeadingProcedure">
    <w:name w:val="Heading Procedure"/>
    <w:basedOn w:val="HeadingBase"/>
    <w:next w:val="Normal"/>
    <w:rsid w:val="00196A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6AAB"/>
    <w:pPr>
      <w:spacing w:before="60" w:after="60"/>
    </w:pPr>
  </w:style>
  <w:style w:type="paragraph" w:styleId="ListContinue">
    <w:name w:val="List Continue"/>
    <w:basedOn w:val="List"/>
    <w:rsid w:val="00196AAB"/>
    <w:pPr>
      <w:ind w:firstLine="0"/>
    </w:pPr>
  </w:style>
  <w:style w:type="paragraph" w:customStyle="1" w:styleId="ListNote">
    <w:name w:val="List Note"/>
    <w:basedOn w:val="List"/>
    <w:rsid w:val="00196A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6A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6A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6AAB"/>
    <w:rPr>
      <w:rFonts w:ascii="Courier New" w:hAnsi="Courier New"/>
    </w:rPr>
  </w:style>
  <w:style w:type="paragraph" w:customStyle="1" w:styleId="NoteBullet">
    <w:name w:val="Note Bullet"/>
    <w:basedOn w:val="Note"/>
    <w:rsid w:val="00196A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6A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6A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6A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6AA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96A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6A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6AAB"/>
    <w:rPr>
      <w:b/>
      <w:smallCaps/>
    </w:rPr>
  </w:style>
  <w:style w:type="paragraph" w:customStyle="1" w:styleId="TableListNumber">
    <w:name w:val="Table List Number"/>
    <w:basedOn w:val="ListNumber"/>
    <w:rsid w:val="00196A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6A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6AAB"/>
    <w:pPr>
      <w:numPr>
        <w:numId w:val="7"/>
      </w:numPr>
    </w:pPr>
  </w:style>
  <w:style w:type="paragraph" w:customStyle="1" w:styleId="ListAlpha2">
    <w:name w:val="List Alpha 2"/>
    <w:basedOn w:val="List2"/>
    <w:rsid w:val="00196AAB"/>
    <w:pPr>
      <w:numPr>
        <w:numId w:val="6"/>
      </w:numPr>
    </w:pPr>
  </w:style>
  <w:style w:type="paragraph" w:styleId="List2">
    <w:name w:val="List 2"/>
    <w:basedOn w:val="BodyText"/>
    <w:rsid w:val="00196A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6A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6A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6A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6AA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6AA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96AAB"/>
    <w:pPr>
      <w:numPr>
        <w:numId w:val="2"/>
      </w:numPr>
    </w:pPr>
  </w:style>
  <w:style w:type="paragraph" w:styleId="ListContinue2">
    <w:name w:val="List Continue 2"/>
    <w:basedOn w:val="List2"/>
    <w:rsid w:val="00196AAB"/>
    <w:pPr>
      <w:ind w:firstLine="0"/>
    </w:pPr>
  </w:style>
  <w:style w:type="paragraph" w:styleId="ListContinue3">
    <w:name w:val="List Continue 3"/>
    <w:basedOn w:val="List3"/>
    <w:rsid w:val="00196AAB"/>
    <w:pPr>
      <w:ind w:left="1021" w:firstLine="0"/>
    </w:pPr>
  </w:style>
  <w:style w:type="paragraph" w:styleId="ListContinue4">
    <w:name w:val="List Continue 4"/>
    <w:basedOn w:val="List4"/>
    <w:rsid w:val="00196AAB"/>
    <w:pPr>
      <w:ind w:firstLine="0"/>
    </w:pPr>
  </w:style>
  <w:style w:type="paragraph" w:styleId="ListContinue5">
    <w:name w:val="List Continue 5"/>
    <w:basedOn w:val="List5"/>
    <w:rsid w:val="00196AAB"/>
    <w:pPr>
      <w:ind w:firstLine="0"/>
    </w:pPr>
  </w:style>
  <w:style w:type="paragraph" w:styleId="ListNumber3">
    <w:name w:val="List Number 3"/>
    <w:basedOn w:val="List3"/>
    <w:rsid w:val="00196AAB"/>
    <w:pPr>
      <w:numPr>
        <w:numId w:val="3"/>
      </w:numPr>
    </w:pPr>
  </w:style>
  <w:style w:type="paragraph" w:styleId="ListNumber4">
    <w:name w:val="List Number 4"/>
    <w:basedOn w:val="List4"/>
    <w:rsid w:val="00196AAB"/>
    <w:pPr>
      <w:numPr>
        <w:numId w:val="4"/>
      </w:numPr>
    </w:pPr>
  </w:style>
  <w:style w:type="paragraph" w:styleId="ListNumber5">
    <w:name w:val="List Number 5"/>
    <w:basedOn w:val="List5"/>
    <w:rsid w:val="00196AAB"/>
    <w:pPr>
      <w:numPr>
        <w:numId w:val="5"/>
      </w:numPr>
    </w:pPr>
  </w:style>
  <w:style w:type="paragraph" w:styleId="BlockText">
    <w:name w:val="Block Text"/>
    <w:basedOn w:val="Normal"/>
    <w:rsid w:val="00196A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6A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6AAB"/>
    <w:rPr>
      <w:sz w:val="16"/>
      <w:vertAlign w:val="superscript"/>
    </w:rPr>
  </w:style>
  <w:style w:type="character" w:customStyle="1" w:styleId="Symbols">
    <w:name w:val="Symbols"/>
    <w:basedOn w:val="DefaultParagraphFont"/>
    <w:rsid w:val="00196AAB"/>
    <w:rPr>
      <w:rFonts w:ascii="Symbol" w:hAnsi="Symbol"/>
    </w:rPr>
  </w:style>
  <w:style w:type="character" w:customStyle="1" w:styleId="MenuOptions">
    <w:name w:val="Menu Options"/>
    <w:basedOn w:val="DefaultParagraphFont"/>
    <w:rsid w:val="00196A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6AAB"/>
    <w:rPr>
      <w:b/>
    </w:rPr>
  </w:style>
  <w:style w:type="character" w:customStyle="1" w:styleId="Underlined">
    <w:name w:val="Underlined"/>
    <w:basedOn w:val="DefaultParagraphFont"/>
    <w:rsid w:val="00196AAB"/>
    <w:rPr>
      <w:u w:val="single"/>
    </w:rPr>
  </w:style>
  <w:style w:type="paragraph" w:customStyle="1" w:styleId="TableBodyTextRight">
    <w:name w:val="Table Body Text Right"/>
    <w:basedOn w:val="TableBodyText"/>
    <w:rsid w:val="00196A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6AAB"/>
    <w:rPr>
      <w:sz w:val="18"/>
    </w:rPr>
  </w:style>
  <w:style w:type="paragraph" w:customStyle="1" w:styleId="BodySmallRight">
    <w:name w:val="Body Small Right"/>
    <w:basedOn w:val="BodyTextRight"/>
    <w:rsid w:val="00196AAB"/>
    <w:rPr>
      <w:sz w:val="18"/>
      <w:szCs w:val="18"/>
    </w:rPr>
  </w:style>
  <w:style w:type="paragraph" w:customStyle="1" w:styleId="MarginEdition">
    <w:name w:val="Margin Edition"/>
    <w:basedOn w:val="MarginNote"/>
    <w:rsid w:val="00196A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6AAB"/>
    <w:rPr>
      <w:sz w:val="2"/>
      <w:szCs w:val="2"/>
    </w:rPr>
  </w:style>
  <w:style w:type="character" w:customStyle="1" w:styleId="Small">
    <w:name w:val="Small"/>
    <w:basedOn w:val="DefaultParagraphFont"/>
    <w:rsid w:val="00196AAB"/>
    <w:rPr>
      <w:sz w:val="16"/>
    </w:rPr>
  </w:style>
  <w:style w:type="paragraph" w:customStyle="1" w:styleId="WideTable">
    <w:name w:val="Wide Table"/>
    <w:basedOn w:val="Normal"/>
    <w:rsid w:val="00196A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6AAB"/>
  </w:style>
  <w:style w:type="paragraph" w:styleId="Quote">
    <w:name w:val="Quote"/>
    <w:basedOn w:val="Heading1"/>
    <w:link w:val="QuoteChar"/>
    <w:qFormat/>
    <w:rsid w:val="00196A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6A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6AAB"/>
    <w:pPr>
      <w:pageBreakBefore/>
    </w:pPr>
  </w:style>
  <w:style w:type="paragraph" w:customStyle="1" w:styleId="Border">
    <w:name w:val="Border"/>
    <w:basedOn w:val="Normal"/>
    <w:qFormat/>
    <w:rsid w:val="00196A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6A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A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A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6A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6A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6A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6A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6A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6AAB"/>
    <w:rPr>
      <w:u w:val="single"/>
    </w:rPr>
  </w:style>
  <w:style w:type="character" w:customStyle="1" w:styleId="BoldandItalics">
    <w:name w:val="Bold and Italics"/>
    <w:qFormat/>
    <w:rsid w:val="00196AAB"/>
    <w:rPr>
      <w:b/>
      <w:i/>
      <w:u w:val="none"/>
    </w:rPr>
  </w:style>
  <w:style w:type="paragraph" w:styleId="BalloonText">
    <w:name w:val="Balloon Text"/>
    <w:basedOn w:val="Normal"/>
    <w:link w:val="BalloonTextChar"/>
    <w:rsid w:val="00196A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6A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6A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6A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6A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6A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6AAB"/>
    <w:pPr>
      <w:spacing w:before="0" w:after="0"/>
    </w:pPr>
  </w:style>
  <w:style w:type="paragraph" w:customStyle="1" w:styleId="BodyTextBold">
    <w:name w:val="Body Text Bold"/>
    <w:basedOn w:val="BodyText"/>
    <w:qFormat/>
    <w:rsid w:val="00196AAB"/>
    <w:rPr>
      <w:b/>
    </w:rPr>
  </w:style>
  <w:style w:type="character" w:styleId="Hyperlink">
    <w:name w:val="Hyperlink"/>
    <w:basedOn w:val="DefaultParagraphFont"/>
    <w:uiPriority w:val="99"/>
    <w:unhideWhenUsed/>
    <w:rsid w:val="002F75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3349</Characters>
  <Application>Microsoft Office Word</Application>
  <DocSecurity>0</DocSecurity>
  <Lines>115</Lines>
  <Paragraphs>79</Paragraphs>
  <ScaleCrop>false</ScaleCrop>
  <Company>Author-it Software Corporation Ltd.</Company>
  <LinksUpToDate>false</LinksUpToDate>
  <CharactersWithSpaces>3809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HLTDET007 Construct removable acrylic partial dentures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2023-07-02T01:26:00Z</dcterms:created>
  <dcterms:modified xsi:type="dcterms:W3CDTF">2023-07-02T01:26:00Z</dcterms:modified>
</cp:coreProperties>
</file>