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15D" w:rsidP="00654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HLTDET004 Articulate models and transfer records</w:t>
      </w:r>
      <w:r>
        <w:fldChar w:fldCharType="end"/>
      </w:r>
    </w:p>
    <w:p w:rsidR="0065415D" w:rsidP="0065415D">
      <w:pPr>
        <w:pStyle w:val="Version"/>
        <w:sectPr w:rsidSect="00170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DCF" w:rsidP="00170DCF">
      <w:pPr>
        <w:pStyle w:val="SuperHeading"/>
      </w:pPr>
      <w:r w:rsidRPr="00170DCF">
        <w:t>HLTDET004 Articulate models and transfer records</w:t>
      </w:r>
    </w:p>
    <w:p w:rsidR="00000000" w:rsidRPr="00170DCF" w:rsidP="00170DCF">
      <w:pPr>
        <w:pStyle w:val="Heading1"/>
      </w:pPr>
      <w:bookmarkStart w:id="1" w:name="O_819819"/>
      <w:bookmarkEnd w:id="1"/>
      <w:r w:rsidRPr="00170DC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54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 xml:space="preserve">Comments </w:t>
            </w:r>
          </w:p>
        </w:tc>
      </w:tr>
      <w:tr w:rsidTr="00654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t xml:space="preserve">This version was released in </w:t>
            </w:r>
            <w:r w:rsidRPr="00170DCF">
              <w:rPr>
                <w:rStyle w:val="Emphasis"/>
              </w:rPr>
              <w:t>HLT Health Training Package release 3.0</w:t>
            </w:r>
            <w:r w:rsidRPr="00170DCF">
              <w:t xml:space="preserve"> and meets the requirements of the 2012 Standards for Training Packages.</w:t>
            </w:r>
          </w:p>
          <w:p w:rsidR="00000000" w:rsidRPr="00170DCF" w:rsidP="00170DCF">
            <w:pPr>
              <w:pStyle w:val="BodyText"/>
            </w:pPr>
            <w:r w:rsidRPr="00170DCF">
              <w:t>Minimal changes to the elements and performance criteria</w:t>
            </w:r>
            <w:r w:rsidRPr="00170DCF">
              <w:t>. New evidence requirements for assessment including volume and frequency requirements. Removal of pre-requisites</w:t>
            </w:r>
          </w:p>
          <w:p w:rsidR="00000000" w:rsidRPr="00170DCF" w:rsidP="00170DCF">
            <w:pPr>
              <w:pStyle w:val="BodyText"/>
            </w:pPr>
            <w:r w:rsidRPr="00170DCF">
              <w:t>Supersedes HLTDT304D</w:t>
            </w:r>
          </w:p>
        </w:tc>
      </w:tr>
    </w:tbl>
    <w:p w:rsidR="0065415D" w:rsidP="00170DCF">
      <w:pPr>
        <w:pStyle w:val="BodyText"/>
      </w:pPr>
    </w:p>
    <w:p w:rsidR="0065415D" w:rsidP="00170DCF">
      <w:pPr>
        <w:pStyle w:val="BodyText"/>
      </w:pPr>
    </w:p>
    <w:p w:rsidR="00000000" w:rsidRPr="00170DCF" w:rsidP="00170DCF">
      <w:pPr>
        <w:pStyle w:val="Heading1"/>
      </w:pPr>
      <w:bookmarkStart w:id="2" w:name="O_819820"/>
      <w:bookmarkEnd w:id="2"/>
      <w:r w:rsidRPr="00170DCF">
        <w:t>Application</w:t>
      </w:r>
    </w:p>
    <w:p w:rsidR="00000000" w:rsidRPr="00170DCF" w:rsidP="0065415D">
      <w:pPr>
        <w:pStyle w:val="BodyText"/>
      </w:pPr>
      <w:r w:rsidRPr="00170DCF">
        <w:t>This unit of competency describes the skills and knowledge required to transfer oral reco</w:t>
      </w:r>
      <w:r w:rsidRPr="00170DCF">
        <w:t>rds and mount models on an articulator.</w:t>
      </w:r>
    </w:p>
    <w:p w:rsidR="00000000" w:rsidRPr="00170DCF" w:rsidP="0065415D">
      <w:pPr>
        <w:pStyle w:val="BodyText"/>
      </w:pPr>
      <w:r w:rsidRPr="00170DCF">
        <w:t>This unit applies to work in dental technology.</w:t>
      </w:r>
    </w:p>
    <w:p w:rsidR="0065415D" w:rsidRPr="0065415D" w:rsidP="0065415D">
      <w:pPr>
        <w:pStyle w:val="BodyText"/>
        <w:rPr>
          <w:i/>
        </w:rPr>
      </w:pPr>
      <w:r w:rsidRPr="0065415D">
        <w:rPr>
          <w:rStyle w:val="Emphasis"/>
        </w:rPr>
        <w:t>The skills in this unit must be applied in accordance with Commonwealth and State/Territory legislation, Australian/New Zealand Standards and industry codes of practi</w:t>
      </w:r>
      <w:r w:rsidRPr="0065415D">
        <w:rPr>
          <w:rStyle w:val="Emphasis"/>
        </w:rPr>
        <w:t>ce</w:t>
      </w:r>
      <w:r w:rsidRPr="0065415D">
        <w:rPr>
          <w:i/>
        </w:rPr>
        <w:t>.</w:t>
      </w:r>
    </w:p>
    <w:p w:rsidR="00000000" w:rsidRPr="00170DCF" w:rsidP="00170DCF">
      <w:pPr>
        <w:pStyle w:val="Heading1"/>
      </w:pPr>
      <w:bookmarkStart w:id="3" w:name="O_819824"/>
      <w:bookmarkEnd w:id="3"/>
      <w:r w:rsidRPr="00170D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7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rPr>
                <w:rStyle w:val="SpecialBold"/>
              </w:rPr>
              <w:t>PERFORMANCE CRITERIA</w:t>
            </w:r>
          </w:p>
        </w:tc>
      </w:tr>
      <w:tr w:rsidTr="0017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Performance criteria describe the performance needed to demonstrate achievement of the element.</w:t>
            </w:r>
          </w:p>
        </w:tc>
      </w:tr>
      <w:tr w:rsidTr="0017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1. Select and prepare the articulator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t>1.1 Apply standard precautions when receiving, handling and working on dental materials</w:t>
            </w:r>
          </w:p>
          <w:p w:rsidR="00000000" w:rsidRPr="00170DCF" w:rsidP="00170DCF">
            <w:pPr>
              <w:pStyle w:val="BodyText"/>
            </w:pPr>
            <w:r w:rsidRPr="00170DCF">
              <w:t>1.2 Decontaminate occlusal registration rims according to infection control guidelines</w:t>
            </w:r>
          </w:p>
          <w:p w:rsidR="00000000" w:rsidRPr="00170DCF" w:rsidP="00170DCF">
            <w:pPr>
              <w:pStyle w:val="BodyText"/>
            </w:pPr>
            <w:r w:rsidRPr="00170DCF">
              <w:t>1.3 Confirm requirements of work order</w:t>
            </w:r>
          </w:p>
          <w:p w:rsidR="00000000" w:rsidRPr="00170DCF" w:rsidP="00170DCF">
            <w:pPr>
              <w:pStyle w:val="BodyText"/>
            </w:pPr>
            <w:r w:rsidRPr="00170DCF">
              <w:t xml:space="preserve">1.4 </w:t>
            </w:r>
            <w:r w:rsidRPr="00170DCF">
              <w:t>Select and adjust articulator in accordance with work order</w:t>
            </w:r>
          </w:p>
          <w:p w:rsidR="00000000" w:rsidRPr="00170DCF" w:rsidP="00170DCF">
            <w:pPr>
              <w:pStyle w:val="BodyText"/>
            </w:pPr>
            <w:r w:rsidRPr="00170DCF">
              <w:t xml:space="preserve">1.5 Ensure all adjustable settings of the articulator are set </w:t>
            </w:r>
            <w:r w:rsidRPr="00170DCF">
              <w:t>to their neutral or zero settings</w:t>
            </w:r>
          </w:p>
          <w:p w:rsidR="00000000" w:rsidRPr="00170DCF" w:rsidP="00170DCF">
            <w:pPr>
              <w:pStyle w:val="BodyText"/>
            </w:pPr>
            <w:r w:rsidRPr="00170DCF">
              <w:t>1.6 Identify the mounting method to be used</w:t>
            </w:r>
          </w:p>
          <w:p w:rsidR="00000000" w:rsidP="00170DCF">
            <w:pPr>
              <w:pStyle w:val="BodyText"/>
              <w:rPr>
                <w:lang w:val="en-NZ"/>
              </w:rPr>
            </w:pPr>
          </w:p>
        </w:tc>
      </w:tr>
      <w:tr w:rsidTr="0017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2. Select and prepare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t>2.1 Position models an</w:t>
            </w:r>
            <w:r w:rsidRPr="00170DCF">
              <w:t>d oral records in articulator for a range of prosthetic appliances</w:t>
            </w:r>
          </w:p>
          <w:p w:rsidR="00000000" w:rsidRPr="00170DCF" w:rsidP="00170DCF">
            <w:pPr>
              <w:pStyle w:val="BodyText"/>
            </w:pPr>
            <w:r w:rsidRPr="00170DCF">
              <w:t>2.2 Prepare mounting materials and apply to models</w:t>
            </w:r>
          </w:p>
          <w:p w:rsidR="00000000" w:rsidRPr="00170DCF" w:rsidP="00170DCF">
            <w:pPr>
              <w:pStyle w:val="BodyText"/>
            </w:pPr>
            <w:r w:rsidRPr="00170DCF">
              <w:t>2.3 Establish and secure centric records</w:t>
            </w:r>
          </w:p>
          <w:p w:rsidR="00000000" w:rsidRPr="00170DCF" w:rsidP="00170DCF">
            <w:pPr>
              <w:pStyle w:val="BodyText"/>
            </w:pPr>
            <w:r w:rsidRPr="00170DCF">
              <w:t>2.4 Remove excess material and smooth to produce a neat finish</w:t>
            </w:r>
          </w:p>
          <w:p w:rsidR="00000000" w:rsidRPr="00170DCF" w:rsidP="00170DCF">
            <w:pPr>
              <w:pStyle w:val="BodyText"/>
            </w:pPr>
            <w:r w:rsidRPr="00170DCF">
              <w:t>2.5 Clean equipment</w:t>
            </w:r>
          </w:p>
          <w:p w:rsidR="00000000" w:rsidP="00170DCF">
            <w:pPr>
              <w:pStyle w:val="BodyText"/>
              <w:rPr>
                <w:lang w:val="en-NZ"/>
              </w:rPr>
            </w:pPr>
          </w:p>
        </w:tc>
      </w:tr>
      <w:tr w:rsidTr="00170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t>3. Transfer oral records to articulator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t>3.1 Transpose records as provided</w:t>
            </w:r>
          </w:p>
          <w:p w:rsidR="00000000" w:rsidRPr="00170DCF" w:rsidP="00170DCF">
            <w:pPr>
              <w:pStyle w:val="BodyText"/>
            </w:pPr>
            <w:r w:rsidRPr="00170DCF">
              <w:t>3.2 Record midline</w:t>
            </w:r>
          </w:p>
          <w:p w:rsidR="00000000" w:rsidRPr="00170DCF" w:rsidP="00170DCF">
            <w:pPr>
              <w:pStyle w:val="BodyText"/>
            </w:pPr>
            <w:r w:rsidRPr="00170DCF">
              <w:t>3.3 Set and record vertical height</w:t>
            </w:r>
          </w:p>
          <w:p w:rsidR="00000000" w:rsidRPr="00170DCF" w:rsidP="00170DCF">
            <w:pPr>
              <w:pStyle w:val="BodyText"/>
            </w:pPr>
            <w:r w:rsidRPr="00170DCF">
              <w:t>3.4 Set the condylar angles to the work order given</w:t>
            </w:r>
          </w:p>
        </w:tc>
      </w:tr>
    </w:tbl>
    <w:p w:rsidR="00000000" w:rsidRPr="00170DCF" w:rsidP="00170DCF">
      <w:pPr>
        <w:pStyle w:val="BodyText"/>
      </w:pPr>
    </w:p>
    <w:p w:rsidR="00000000" w:rsidRPr="00170DCF" w:rsidP="00170DCF">
      <w:pPr>
        <w:pStyle w:val="AllowPageBreak"/>
      </w:pPr>
    </w:p>
    <w:p w:rsidR="00000000" w:rsidRPr="00170DCF" w:rsidP="00170DCF">
      <w:pPr>
        <w:pStyle w:val="Heading1"/>
      </w:pPr>
      <w:bookmarkStart w:id="4" w:name="O_819825"/>
      <w:bookmarkEnd w:id="4"/>
      <w:r w:rsidRPr="00170D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54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CF">
            <w:pPr>
              <w:pStyle w:val="BodyText"/>
              <w:rPr>
                <w:lang w:val="en-NZ"/>
              </w:rPr>
            </w:pPr>
            <w:r w:rsidRPr="00170DCF">
              <w:rPr>
                <w:rStyle w:val="Emphasis"/>
              </w:rPr>
              <w:t>The Foundation Skills describe those re</w:t>
            </w:r>
            <w:r w:rsidRPr="00170DCF">
              <w:rPr>
                <w:rStyle w:val="Emphasis"/>
              </w:rPr>
              <w:t xml:space="preserve">quired skills (language, literacy, numeracy and employment skills) that </w:t>
            </w:r>
            <w:r w:rsidRPr="00170DCF">
              <w:t xml:space="preserve">are essential to </w:t>
            </w:r>
            <w:r w:rsidRPr="00170DCF">
              <w:rPr>
                <w:rStyle w:val="Emphasis"/>
              </w:rPr>
              <w:t>performance.</w:t>
            </w:r>
          </w:p>
        </w:tc>
      </w:tr>
      <w:tr w:rsidTr="006541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CF" w:rsidP="00170DCF">
            <w:pPr>
              <w:pStyle w:val="BodyText"/>
            </w:pPr>
            <w:r w:rsidRPr="00170DCF">
              <w:t>Foundation skills essential to performance are explicit in the performance criteria of this unit of competency.</w:t>
            </w:r>
          </w:p>
        </w:tc>
      </w:tr>
    </w:tbl>
    <w:p w:rsidR="0065415D" w:rsidP="00170DCF">
      <w:pPr>
        <w:pStyle w:val="BodyText"/>
      </w:pPr>
    </w:p>
    <w:p w:rsidR="0065415D" w:rsidP="00170DCF">
      <w:pPr>
        <w:pStyle w:val="BodyText"/>
      </w:pPr>
    </w:p>
    <w:p w:rsidR="00000000" w:rsidRPr="00170DCF" w:rsidP="00170DCF">
      <w:pPr>
        <w:pStyle w:val="Heading1"/>
      </w:pPr>
      <w:bookmarkStart w:id="5" w:name="O_819827"/>
      <w:bookmarkEnd w:id="5"/>
      <w:r w:rsidRPr="00170DCF">
        <w:t>Unit Mapping Information</w:t>
      </w:r>
    </w:p>
    <w:p w:rsidR="00000000" w:rsidRPr="00170DCF" w:rsidP="0065415D">
      <w:pPr>
        <w:pStyle w:val="BodyText"/>
      </w:pPr>
      <w:r w:rsidRPr="00170DCF">
        <w:t xml:space="preserve">No Equivalent Unit </w:t>
      </w:r>
    </w:p>
    <w:p w:rsidR="00000000" w:rsidRPr="00170DCF" w:rsidP="00170DCF">
      <w:pPr>
        <w:pStyle w:val="Heading1"/>
      </w:pPr>
      <w:bookmarkStart w:id="6" w:name="O_819834"/>
      <w:bookmarkEnd w:id="6"/>
      <w:r w:rsidRPr="00170DCF">
        <w:t>Links</w:t>
      </w:r>
    </w:p>
    <w:p w:rsidR="00000000" w:rsidRPr="00170DCF" w:rsidP="0065415D">
      <w:pPr>
        <w:pStyle w:val="BodyText"/>
      </w:pPr>
      <w:r w:rsidRPr="00170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C4F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0DCF" w:rsidP="00170DCF"/>
    <w:sectPr w:rsidSect="00170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F" w:rsidRPr="0065415D" w:rsidP="00654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5D" w:rsidP="00170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15D" w:rsidP="00170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415D" w:rsidP="00170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DCF" w:rsidRPr="0065415D" w:rsidP="00654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5D" w:rsidRPr="002D2AF8" w:rsidP="00170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HLTDET004 Articulate models and transfer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5415D" w:rsidP="00170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DCF"/>
  </w:style>
  <w:style w:type="character" w:customStyle="1" w:styleId="Heading1Char">
    <w:name w:val="Heading 1 Char"/>
    <w:basedOn w:val="DefaultParagraphFont"/>
    <w:link w:val="Heading1"/>
    <w:rsid w:val="00170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D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0DCF"/>
    <w:rPr>
      <w:b/>
      <w:spacing w:val="0"/>
    </w:rPr>
  </w:style>
  <w:style w:type="character" w:styleId="Emphasis">
    <w:name w:val="Emphasis"/>
    <w:basedOn w:val="DefaultParagraphFont"/>
    <w:qFormat/>
    <w:rsid w:val="00170DCF"/>
    <w:rPr>
      <w:i/>
    </w:rPr>
  </w:style>
  <w:style w:type="paragraph" w:customStyle="1" w:styleId="SuperHeading">
    <w:name w:val="SuperHeading"/>
    <w:basedOn w:val="Normal"/>
    <w:rsid w:val="00170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D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D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0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D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D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0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DCF"/>
  </w:style>
  <w:style w:type="paragraph" w:styleId="TableofFigures">
    <w:name w:val="table of figures"/>
    <w:basedOn w:val="Normal"/>
    <w:next w:val="Normal"/>
    <w:semiHidden/>
    <w:rsid w:val="00170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D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0DCF"/>
    <w:rPr>
      <w:rFonts w:ascii="Wingdings" w:hAnsi="Wingdings"/>
    </w:rPr>
  </w:style>
  <w:style w:type="paragraph" w:customStyle="1" w:styleId="TableHeading">
    <w:name w:val="Table Heading"/>
    <w:basedOn w:val="HeadingBase"/>
    <w:rsid w:val="00170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DCF"/>
    <w:rPr>
      <w:color w:val="0033CC"/>
      <w:u w:val="none"/>
    </w:rPr>
  </w:style>
  <w:style w:type="paragraph" w:customStyle="1" w:styleId="BodyTextRight">
    <w:name w:val="Body Text Right"/>
    <w:basedOn w:val="BodyText"/>
    <w:rsid w:val="00170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D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DCF"/>
    <w:rPr>
      <w:sz w:val="32"/>
    </w:rPr>
  </w:style>
  <w:style w:type="paragraph" w:customStyle="1" w:styleId="HeadingProcedure">
    <w:name w:val="Heading Procedure"/>
    <w:basedOn w:val="HeadingBase"/>
    <w:next w:val="Normal"/>
    <w:rsid w:val="00170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DCF"/>
    <w:pPr>
      <w:spacing w:before="60" w:after="60"/>
    </w:pPr>
  </w:style>
  <w:style w:type="paragraph" w:styleId="ListContinue">
    <w:name w:val="List Continue"/>
    <w:basedOn w:val="List"/>
    <w:rsid w:val="00170DCF"/>
    <w:pPr>
      <w:ind w:firstLine="0"/>
    </w:pPr>
  </w:style>
  <w:style w:type="paragraph" w:customStyle="1" w:styleId="ListNote">
    <w:name w:val="List Note"/>
    <w:basedOn w:val="List"/>
    <w:rsid w:val="00170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DCF"/>
    <w:rPr>
      <w:rFonts w:ascii="Courier New" w:hAnsi="Courier New"/>
    </w:rPr>
  </w:style>
  <w:style w:type="paragraph" w:customStyle="1" w:styleId="NoteBullet">
    <w:name w:val="Note Bullet"/>
    <w:basedOn w:val="Note"/>
    <w:rsid w:val="00170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D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0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DCF"/>
    <w:rPr>
      <w:b/>
      <w:smallCaps/>
    </w:rPr>
  </w:style>
  <w:style w:type="paragraph" w:customStyle="1" w:styleId="TableListNumber">
    <w:name w:val="Table List Number"/>
    <w:basedOn w:val="ListNumber"/>
    <w:rsid w:val="00170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DCF"/>
    <w:pPr>
      <w:numPr>
        <w:numId w:val="7"/>
      </w:numPr>
    </w:pPr>
  </w:style>
  <w:style w:type="paragraph" w:customStyle="1" w:styleId="ListAlpha2">
    <w:name w:val="List Alpha 2"/>
    <w:basedOn w:val="List2"/>
    <w:rsid w:val="00170DCF"/>
    <w:pPr>
      <w:numPr>
        <w:numId w:val="6"/>
      </w:numPr>
    </w:pPr>
  </w:style>
  <w:style w:type="paragraph" w:styleId="List2">
    <w:name w:val="List 2"/>
    <w:basedOn w:val="BodyText"/>
    <w:rsid w:val="00170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D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D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0DCF"/>
    <w:pPr>
      <w:numPr>
        <w:numId w:val="2"/>
      </w:numPr>
    </w:pPr>
  </w:style>
  <w:style w:type="paragraph" w:styleId="ListContinue2">
    <w:name w:val="List Continue 2"/>
    <w:basedOn w:val="List2"/>
    <w:rsid w:val="00170DCF"/>
    <w:pPr>
      <w:ind w:firstLine="0"/>
    </w:pPr>
  </w:style>
  <w:style w:type="paragraph" w:styleId="ListContinue3">
    <w:name w:val="List Continue 3"/>
    <w:basedOn w:val="List3"/>
    <w:rsid w:val="00170DCF"/>
    <w:pPr>
      <w:ind w:left="1021" w:firstLine="0"/>
    </w:pPr>
  </w:style>
  <w:style w:type="paragraph" w:styleId="ListContinue4">
    <w:name w:val="List Continue 4"/>
    <w:basedOn w:val="List4"/>
    <w:rsid w:val="00170DCF"/>
    <w:pPr>
      <w:ind w:firstLine="0"/>
    </w:pPr>
  </w:style>
  <w:style w:type="paragraph" w:styleId="ListContinue5">
    <w:name w:val="List Continue 5"/>
    <w:basedOn w:val="List5"/>
    <w:rsid w:val="00170DCF"/>
    <w:pPr>
      <w:ind w:firstLine="0"/>
    </w:pPr>
  </w:style>
  <w:style w:type="paragraph" w:styleId="ListNumber3">
    <w:name w:val="List Number 3"/>
    <w:basedOn w:val="List3"/>
    <w:rsid w:val="00170DCF"/>
    <w:pPr>
      <w:numPr>
        <w:numId w:val="3"/>
      </w:numPr>
    </w:pPr>
  </w:style>
  <w:style w:type="paragraph" w:styleId="ListNumber4">
    <w:name w:val="List Number 4"/>
    <w:basedOn w:val="List4"/>
    <w:rsid w:val="00170DCF"/>
    <w:pPr>
      <w:numPr>
        <w:numId w:val="4"/>
      </w:numPr>
    </w:pPr>
  </w:style>
  <w:style w:type="paragraph" w:styleId="ListNumber5">
    <w:name w:val="List Number 5"/>
    <w:basedOn w:val="List5"/>
    <w:rsid w:val="00170DCF"/>
    <w:pPr>
      <w:numPr>
        <w:numId w:val="5"/>
      </w:numPr>
    </w:pPr>
  </w:style>
  <w:style w:type="paragraph" w:styleId="BlockText">
    <w:name w:val="Block Text"/>
    <w:basedOn w:val="Normal"/>
    <w:rsid w:val="00170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DCF"/>
    <w:rPr>
      <w:sz w:val="16"/>
      <w:vertAlign w:val="superscript"/>
    </w:rPr>
  </w:style>
  <w:style w:type="character" w:customStyle="1" w:styleId="Symbols">
    <w:name w:val="Symbols"/>
    <w:basedOn w:val="DefaultParagraphFont"/>
    <w:rsid w:val="00170DCF"/>
    <w:rPr>
      <w:rFonts w:ascii="Symbol" w:hAnsi="Symbol"/>
    </w:rPr>
  </w:style>
  <w:style w:type="character" w:customStyle="1" w:styleId="MenuOptions">
    <w:name w:val="Menu Options"/>
    <w:basedOn w:val="DefaultParagraphFont"/>
    <w:rsid w:val="00170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DCF"/>
    <w:rPr>
      <w:b/>
    </w:rPr>
  </w:style>
  <w:style w:type="character" w:customStyle="1" w:styleId="Underlined">
    <w:name w:val="Underlined"/>
    <w:basedOn w:val="DefaultParagraphFont"/>
    <w:rsid w:val="00170DCF"/>
    <w:rPr>
      <w:u w:val="single"/>
    </w:rPr>
  </w:style>
  <w:style w:type="paragraph" w:customStyle="1" w:styleId="TableBodyTextRight">
    <w:name w:val="Table Body Text Right"/>
    <w:basedOn w:val="TableBodyText"/>
    <w:rsid w:val="00170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DCF"/>
    <w:rPr>
      <w:sz w:val="18"/>
    </w:rPr>
  </w:style>
  <w:style w:type="paragraph" w:customStyle="1" w:styleId="BodySmallRight">
    <w:name w:val="Body Small Right"/>
    <w:basedOn w:val="BodyTextRight"/>
    <w:rsid w:val="00170DCF"/>
    <w:rPr>
      <w:sz w:val="18"/>
      <w:szCs w:val="18"/>
    </w:rPr>
  </w:style>
  <w:style w:type="paragraph" w:customStyle="1" w:styleId="MarginEdition">
    <w:name w:val="Margin Edition"/>
    <w:basedOn w:val="MarginNote"/>
    <w:rsid w:val="00170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DCF"/>
    <w:rPr>
      <w:sz w:val="2"/>
      <w:szCs w:val="2"/>
    </w:rPr>
  </w:style>
  <w:style w:type="character" w:customStyle="1" w:styleId="Small">
    <w:name w:val="Small"/>
    <w:basedOn w:val="DefaultParagraphFont"/>
    <w:rsid w:val="00170DCF"/>
    <w:rPr>
      <w:sz w:val="16"/>
    </w:rPr>
  </w:style>
  <w:style w:type="paragraph" w:customStyle="1" w:styleId="WideTable">
    <w:name w:val="Wide Table"/>
    <w:basedOn w:val="Normal"/>
    <w:rsid w:val="00170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DCF"/>
  </w:style>
  <w:style w:type="paragraph" w:styleId="Quote">
    <w:name w:val="Quote"/>
    <w:basedOn w:val="Heading1"/>
    <w:link w:val="QuoteChar"/>
    <w:qFormat/>
    <w:rsid w:val="00170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DCF"/>
    <w:pPr>
      <w:pageBreakBefore/>
    </w:pPr>
  </w:style>
  <w:style w:type="paragraph" w:customStyle="1" w:styleId="Border">
    <w:name w:val="Border"/>
    <w:basedOn w:val="Normal"/>
    <w:qFormat/>
    <w:rsid w:val="00170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DCF"/>
    <w:rPr>
      <w:u w:val="single"/>
    </w:rPr>
  </w:style>
  <w:style w:type="character" w:customStyle="1" w:styleId="BoldandItalics">
    <w:name w:val="Bold and Italics"/>
    <w:qFormat/>
    <w:rsid w:val="00170DCF"/>
    <w:rPr>
      <w:b/>
      <w:i/>
      <w:u w:val="none"/>
    </w:rPr>
  </w:style>
  <w:style w:type="paragraph" w:styleId="BalloonText">
    <w:name w:val="Balloon Text"/>
    <w:basedOn w:val="Normal"/>
    <w:link w:val="BalloonTextChar"/>
    <w:rsid w:val="00170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DCF"/>
    <w:pPr>
      <w:spacing w:before="0" w:after="0"/>
    </w:pPr>
  </w:style>
  <w:style w:type="paragraph" w:customStyle="1" w:styleId="BodyTextBold">
    <w:name w:val="Body Text Bold"/>
    <w:basedOn w:val="BodyText"/>
    <w:qFormat/>
    <w:rsid w:val="00170DCF"/>
    <w:rPr>
      <w:b/>
    </w:rPr>
  </w:style>
  <w:style w:type="character" w:styleId="Hyperlink">
    <w:name w:val="Hyperlink"/>
    <w:basedOn w:val="DefaultParagraphFont"/>
    <w:uiPriority w:val="99"/>
    <w:unhideWhenUsed/>
    <w:rsid w:val="00654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</Words>
  <Characters>2271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HLTDET004 Articulate models and transfer records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