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E89" w:rsidP="00D52E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HLTDET001 Construct models</w:t>
      </w:r>
      <w:r>
        <w:fldChar w:fldCharType="end"/>
      </w:r>
    </w:p>
    <w:p w:rsidR="00D52E89" w:rsidP="00D52E89">
      <w:pPr>
        <w:pStyle w:val="Version"/>
        <w:sectPr w:rsidSect="00763D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D30" w:rsidP="00763D30">
      <w:pPr>
        <w:pStyle w:val="SuperHeading"/>
      </w:pPr>
      <w:r w:rsidRPr="00763D30">
        <w:t>Assessment Requirements for HLTDET001 Construct models</w:t>
      </w:r>
    </w:p>
    <w:p w:rsidR="00000000" w:rsidRPr="00763D30" w:rsidP="00763D30">
      <w:pPr>
        <w:pStyle w:val="Heading1"/>
      </w:pPr>
      <w:bookmarkStart w:id="1" w:name="O_819758"/>
      <w:bookmarkEnd w:id="1"/>
      <w:r w:rsidRPr="00763D3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D52E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D30">
            <w:pPr>
              <w:pStyle w:val="BodyText"/>
              <w:rPr>
                <w:lang w:val="en-NZ"/>
              </w:rPr>
            </w:pPr>
            <w:r w:rsidRPr="00763D30"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D30">
            <w:pPr>
              <w:pStyle w:val="BodyText"/>
              <w:rPr>
                <w:lang w:val="en-NZ"/>
              </w:rPr>
            </w:pPr>
            <w:r w:rsidRPr="00763D30">
              <w:t xml:space="preserve">Comments </w:t>
            </w:r>
          </w:p>
        </w:tc>
      </w:tr>
      <w:tr w:rsidTr="00D52E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D30">
            <w:pPr>
              <w:pStyle w:val="BodyText"/>
              <w:rPr>
                <w:lang w:val="en-NZ"/>
              </w:rPr>
            </w:pPr>
            <w:r w:rsidRPr="00763D30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D30" w:rsidP="00763D30">
            <w:pPr>
              <w:pStyle w:val="BodyText"/>
            </w:pPr>
            <w:r w:rsidRPr="00763D30">
              <w:t xml:space="preserve">This version was released in </w:t>
            </w:r>
            <w:r w:rsidRPr="00763D30">
              <w:rPr>
                <w:rStyle w:val="Emphasis"/>
              </w:rPr>
              <w:t>HLT Health Training Package release 3.0</w:t>
            </w:r>
            <w:r w:rsidRPr="00763D30">
              <w:t xml:space="preserve"> and meets the requirements of the 2012 Standards for Training Packages.</w:t>
            </w:r>
          </w:p>
          <w:p w:rsidR="00000000" w:rsidRPr="00763D30" w:rsidP="00763D30">
            <w:pPr>
              <w:pStyle w:val="BodyText"/>
            </w:pPr>
          </w:p>
          <w:p w:rsidR="00000000" w:rsidRPr="00763D30" w:rsidP="00763D30">
            <w:pPr>
              <w:pStyle w:val="BodyText"/>
            </w:pPr>
            <w:r w:rsidRPr="00763D30">
              <w:t>Minimal changes to the elements and performance</w:t>
            </w:r>
            <w:r w:rsidRPr="00763D30">
              <w:t xml:space="preserve"> criteria. New evidence requirements for assessment including volume and frequency requirements. Removal of pre-requisites</w:t>
            </w:r>
          </w:p>
          <w:p w:rsidR="00000000" w:rsidRPr="00763D30" w:rsidP="00763D30">
            <w:pPr>
              <w:pStyle w:val="BodyText"/>
            </w:pPr>
          </w:p>
          <w:p w:rsidR="00000000" w:rsidRPr="00763D30" w:rsidP="00763D30">
            <w:pPr>
              <w:pStyle w:val="BodyText"/>
            </w:pPr>
            <w:r w:rsidRPr="00763D30">
              <w:t>Supersedes HLTDT301D</w:t>
            </w:r>
          </w:p>
        </w:tc>
      </w:tr>
    </w:tbl>
    <w:p w:rsidR="00000000" w:rsidRPr="00763D30" w:rsidP="00763D30">
      <w:pPr>
        <w:pStyle w:val="BodyText"/>
      </w:pPr>
    </w:p>
    <w:p w:rsidR="00000000" w:rsidRPr="00763D30" w:rsidP="00763D30">
      <w:pPr>
        <w:pStyle w:val="AllowPageBreak"/>
      </w:pPr>
    </w:p>
    <w:p w:rsidR="00000000" w:rsidRPr="00763D30" w:rsidP="00763D30">
      <w:pPr>
        <w:pStyle w:val="Heading1"/>
      </w:pPr>
      <w:bookmarkStart w:id="2" w:name="O_819759"/>
      <w:bookmarkEnd w:id="2"/>
      <w:r w:rsidRPr="00763D30">
        <w:t>Performance Evidence</w:t>
      </w:r>
    </w:p>
    <w:p w:rsidR="00000000" w:rsidRPr="00763D30" w:rsidP="00D52E89">
      <w:pPr>
        <w:pStyle w:val="BodyText"/>
      </w:pPr>
      <w:r w:rsidRPr="00763D30">
        <w:t>The candidate must show evidence of the ability to complete tasks outli</w:t>
      </w:r>
      <w:r w:rsidRPr="00763D30">
        <w:t>ned in elements and performance criteria of this unit, manage tasks and manage contingencies in the context of the job role. There must be evidence that the candidate has:</w:t>
      </w:r>
    </w:p>
    <w:p w:rsidR="00000000" w:rsidRPr="00763D30" w:rsidP="00763D30">
      <w:pPr>
        <w:pStyle w:val="List"/>
      </w:pPr>
      <w:r w:rsidRPr="00763D30">
        <w:t>•</w:t>
      </w:r>
      <w:r w:rsidRPr="00763D30">
        <w:tab/>
        <w:t>used standard precautions and safe work practices to prepare models, using a range</w:t>
      </w:r>
      <w:r w:rsidRPr="00763D30">
        <w:t xml:space="preserve"> of materials specifically prepared against written instructions and manufacturers’ instructions, for at least 4 different types of impressions (must be a combination of maxillary and mandibular arches):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 xml:space="preserve">dentate 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partially dentate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edentulous</w:t>
      </w:r>
    </w:p>
    <w:p w:rsidR="00D52E89" w:rsidP="00763D30">
      <w:pPr>
        <w:pStyle w:val="List"/>
      </w:pPr>
      <w:r w:rsidRPr="00763D30">
        <w:t>•</w:t>
      </w:r>
      <w:r w:rsidRPr="00763D30">
        <w:tab/>
      </w:r>
      <w:r w:rsidRPr="00763D30">
        <w:t>critically evaluated the 4 different types of models produced to meet technical laboratory and clinician requirements.</w:t>
      </w:r>
    </w:p>
    <w:p w:rsidR="00D52E89" w:rsidP="00763D30">
      <w:pPr>
        <w:pStyle w:val="List"/>
      </w:pPr>
    </w:p>
    <w:p w:rsidR="00000000" w:rsidRPr="00763D30" w:rsidP="00763D30">
      <w:pPr>
        <w:pStyle w:val="Heading1"/>
      </w:pPr>
      <w:bookmarkStart w:id="3" w:name="O_819760"/>
      <w:bookmarkEnd w:id="3"/>
      <w:r w:rsidRPr="00763D30">
        <w:t>Knowledge Evidence</w:t>
      </w:r>
    </w:p>
    <w:p w:rsidR="00000000" w:rsidRPr="00763D30" w:rsidP="00D52E89">
      <w:pPr>
        <w:pStyle w:val="BodyText"/>
      </w:pPr>
      <w:r w:rsidRPr="00763D30">
        <w:t>The candidate must be able to demonstrate essential knowledge required to effectively complete tasks</w:t>
      </w:r>
      <w:r w:rsidRPr="00763D30">
        <w:t xml:space="preserve"> outlined in elements and performance criteria of this unit, manage tasks and manage contingencies in the context of the work role. This includes knowledge of: </w:t>
      </w:r>
    </w:p>
    <w:p w:rsidR="00000000" w:rsidRPr="00763D30" w:rsidP="00763D30">
      <w:pPr>
        <w:pStyle w:val="List"/>
      </w:pPr>
      <w:r w:rsidRPr="00763D30">
        <w:t>•</w:t>
      </w:r>
      <w:r w:rsidRPr="00763D30">
        <w:tab/>
        <w:t>Australian/New Zealand Standards, workplace health and safety (WHS) policies, Dental Board of</w:t>
      </w:r>
      <w:r w:rsidRPr="00763D30">
        <w:t xml:space="preserve"> Australia guidelines on infection control, Commonwealth legislation and State/Territory legislation, and organisation policies relating to dental laboratory work </w:t>
      </w:r>
    </w:p>
    <w:p w:rsidR="00000000" w:rsidRPr="00763D30" w:rsidP="00763D30">
      <w:pPr>
        <w:pStyle w:val="List"/>
      </w:pPr>
      <w:r w:rsidRPr="00763D30">
        <w:t>•</w:t>
      </w:r>
      <w:r w:rsidRPr="00763D30">
        <w:tab/>
        <w:t>requirements and organisation policies relating to dental laboratory work including: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use</w:t>
      </w:r>
      <w:r w:rsidRPr="00763D30">
        <w:t xml:space="preserve"> of standard precautions to minimise risk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use of personal protective equipment (PPE) including disposable gloves, laboratory coat and eye protection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decontamination of impressions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minimising hazardous manual tasks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 xml:space="preserve">requirements for storage of model </w:t>
      </w:r>
      <w:r w:rsidRPr="00763D30">
        <w:t>material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safe disposal of packaging materials</w:t>
      </w:r>
    </w:p>
    <w:p w:rsidR="00000000" w:rsidRPr="00763D30" w:rsidP="00763D30">
      <w:pPr>
        <w:pStyle w:val="List"/>
      </w:pPr>
      <w:r w:rsidRPr="00763D30">
        <w:t>•</w:t>
      </w:r>
      <w:r w:rsidRPr="00763D30">
        <w:tab/>
        <w:t>fundamental oral anatomy, including: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dentition – arrangement of the teeth, naming and coding of teeth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structures of the oral cavity – hard and soft palate, lateral and posterior borders of the oral cavi</w:t>
      </w:r>
      <w:r w:rsidRPr="00763D30">
        <w:t>ty, tongue and floor of the mouth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teeth form and function</w:t>
      </w:r>
    </w:p>
    <w:p w:rsidR="00000000" w:rsidRPr="00763D30" w:rsidP="00763D30">
      <w:pPr>
        <w:pStyle w:val="List"/>
      </w:pPr>
      <w:r w:rsidRPr="00763D30">
        <w:t>•</w:t>
      </w:r>
      <w:r w:rsidRPr="00763D30">
        <w:tab/>
        <w:t>properties of elastic impression materials including: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alginate impression material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polyether impression material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polysulphide impression material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polyvinyl siloxane impression material</w:t>
      </w:r>
    </w:p>
    <w:p w:rsidR="00000000" w:rsidRPr="00763D30" w:rsidP="00763D30">
      <w:pPr>
        <w:pStyle w:val="List"/>
      </w:pPr>
      <w:r w:rsidRPr="00763D30">
        <w:t>•</w:t>
      </w:r>
      <w:r w:rsidRPr="00763D30">
        <w:tab/>
        <w:t>properties of rigid impression materials including: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impression compound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zinc oxide-eugenol impression pastes</w:t>
      </w:r>
    </w:p>
    <w:p w:rsidR="00000000" w:rsidRPr="00763D30" w:rsidP="00763D30">
      <w:pPr>
        <w:pStyle w:val="List"/>
      </w:pPr>
      <w:r w:rsidRPr="00763D30">
        <w:t>•</w:t>
      </w:r>
      <w:r w:rsidRPr="00763D30">
        <w:tab/>
        <w:t>desirable properties of model materials including: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accurate reproduction of all details of the impression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colour contrast with other materials used on them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ease of manipulation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sufficient strength and hardness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suitability for use with all types of impression materials</w:t>
      </w:r>
    </w:p>
    <w:p w:rsidR="00000000" w:rsidRPr="00763D30" w:rsidP="00763D30">
      <w:pPr>
        <w:pStyle w:val="List"/>
      </w:pPr>
      <w:r w:rsidRPr="00763D30">
        <w:t>•</w:t>
      </w:r>
      <w:r w:rsidRPr="00763D30">
        <w:tab/>
        <w:t>significance of study models for: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dentate and partially dentate mouths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edentulous</w:t>
      </w:r>
      <w:r w:rsidRPr="00763D30">
        <w:t xml:space="preserve"> mouths.</w:t>
      </w:r>
    </w:p>
    <w:p w:rsidR="00000000" w:rsidRPr="00763D30" w:rsidP="00763D30">
      <w:pPr>
        <w:pStyle w:val="AllowPageBreak"/>
      </w:pPr>
    </w:p>
    <w:p w:rsidR="00000000" w:rsidRPr="00763D30" w:rsidP="00763D30">
      <w:pPr>
        <w:pStyle w:val="Heading1"/>
      </w:pPr>
      <w:bookmarkStart w:id="4" w:name="O_819761"/>
      <w:bookmarkEnd w:id="4"/>
      <w:r w:rsidRPr="00763D30">
        <w:t>Assessment Conditions</w:t>
      </w:r>
    </w:p>
    <w:p w:rsidR="00000000" w:rsidRPr="00763D30" w:rsidP="00D52E89">
      <w:pPr>
        <w:pStyle w:val="BodyText"/>
      </w:pPr>
      <w:r w:rsidRPr="00763D30">
        <w:t>Skills must have been demonstrated in a dental laboratory workplace or in a simulated dental laboratory environment that reflects workplace laboratory conditions. The following conditions must be met for this</w:t>
      </w:r>
      <w:r w:rsidRPr="00763D30">
        <w:t xml:space="preserve"> unit: 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use of suitable facilities, equipment and resources including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 xml:space="preserve">access to work order 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Dental Board of Australia guidelines on infection control on which the candidate bases the planning process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impression materials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laboratory safety manuals</w:t>
      </w:r>
      <w:r w:rsidRPr="00763D30">
        <w:t xml:space="preserve"> and procedures in line with relevant Commonwealth and State/Territory legislation 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PPE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simulation models on which to construct impression models</w:t>
      </w:r>
    </w:p>
    <w:p w:rsidR="00000000" w:rsidRPr="00763D30" w:rsidP="00763D30">
      <w:pPr>
        <w:pStyle w:val="List2"/>
      </w:pPr>
      <w:r>
        <w:t>•</w:t>
      </w:r>
      <w:r>
        <w:tab/>
      </w:r>
      <w:r w:rsidRPr="00763D30">
        <w:t>WHS policies on which the candidate bases the planning process.</w:t>
      </w:r>
    </w:p>
    <w:p w:rsidR="00000000" w:rsidRPr="00763D30" w:rsidP="00763D30">
      <w:pPr>
        <w:pStyle w:val="BodyText"/>
      </w:pPr>
    </w:p>
    <w:p w:rsidR="00D52E89" w:rsidP="00D52E89">
      <w:pPr>
        <w:pStyle w:val="BodyText"/>
      </w:pPr>
      <w:r w:rsidRPr="00763D30">
        <w:t>Assessors must satisfy the Standards fo</w:t>
      </w:r>
      <w:r w:rsidRPr="00763D30">
        <w:t>r Registered Training Organisations (RTOs) 2015/AQTF mandatory competency requirements for assessors.</w:t>
      </w:r>
    </w:p>
    <w:p w:rsidR="00000000" w:rsidRPr="00763D30" w:rsidP="00763D30">
      <w:pPr>
        <w:pStyle w:val="Heading1"/>
      </w:pPr>
      <w:bookmarkStart w:id="5" w:name="O_819764"/>
      <w:bookmarkEnd w:id="5"/>
      <w:r w:rsidRPr="00763D30">
        <w:t>Links</w:t>
      </w:r>
    </w:p>
    <w:p w:rsidR="00000000" w:rsidRPr="00763D30" w:rsidP="00D52E89">
      <w:pPr>
        <w:pStyle w:val="BodyText"/>
      </w:pPr>
      <w:r w:rsidRPr="00763D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C25A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63D30" w:rsidP="00763D30"/>
    <w:sectPr w:rsidSect="00763D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D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D30" w:rsidRPr="00D52E89" w:rsidP="00D52E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D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89" w:rsidP="00763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E89" w:rsidP="00763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2E89" w:rsidP="00763D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D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D30" w:rsidRPr="00D52E89" w:rsidP="00D52E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D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89" w:rsidRPr="002D2AF8" w:rsidP="00763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HLTDET001 Construct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52E89" w:rsidP="00763D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D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D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D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D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D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D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D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D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D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D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D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D30"/>
  </w:style>
  <w:style w:type="character" w:customStyle="1" w:styleId="Heading1Char">
    <w:name w:val="Heading 1 Char"/>
    <w:basedOn w:val="DefaultParagraphFont"/>
    <w:link w:val="Heading1"/>
    <w:rsid w:val="00763D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D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D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3D30"/>
    <w:pPr>
      <w:tabs>
        <w:tab w:val="left" w:pos="340"/>
      </w:tabs>
      <w:spacing w:before="60" w:after="60"/>
      <w:ind w:left="340" w:hanging="340"/>
    </w:pPr>
  </w:style>
  <w:style w:type="character" w:styleId="Emphasis">
    <w:name w:val="Emphasis"/>
    <w:basedOn w:val="DefaultParagraphFont"/>
    <w:qFormat/>
    <w:rsid w:val="00763D30"/>
    <w:rPr>
      <w:i/>
    </w:rPr>
  </w:style>
  <w:style w:type="paragraph" w:customStyle="1" w:styleId="SuperHeading">
    <w:name w:val="SuperHeading"/>
    <w:basedOn w:val="Normal"/>
    <w:rsid w:val="00763D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D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63D3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63D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D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D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D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D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D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D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D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D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D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D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D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D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D3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63D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3D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3D30"/>
    <w:rPr>
      <w:b/>
      <w:spacing w:val="0"/>
    </w:rPr>
  </w:style>
  <w:style w:type="paragraph" w:customStyle="1" w:styleId="SuperTitle">
    <w:name w:val="SuperTitle"/>
    <w:basedOn w:val="Title"/>
    <w:rsid w:val="00763D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D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D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3D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3D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D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D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D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D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D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D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D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D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3D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D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D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D30"/>
  </w:style>
  <w:style w:type="paragraph" w:styleId="TableofFigures">
    <w:name w:val="table of figures"/>
    <w:basedOn w:val="Normal"/>
    <w:next w:val="Normal"/>
    <w:semiHidden/>
    <w:rsid w:val="00763D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D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3D30"/>
    <w:rPr>
      <w:rFonts w:ascii="Wingdings" w:hAnsi="Wingdings"/>
    </w:rPr>
  </w:style>
  <w:style w:type="paragraph" w:customStyle="1" w:styleId="TableHeading">
    <w:name w:val="Table Heading"/>
    <w:basedOn w:val="HeadingBase"/>
    <w:rsid w:val="00763D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D30"/>
    <w:rPr>
      <w:color w:val="0033CC"/>
      <w:u w:val="none"/>
    </w:rPr>
  </w:style>
  <w:style w:type="paragraph" w:customStyle="1" w:styleId="BodyTextRight">
    <w:name w:val="Body Text Right"/>
    <w:basedOn w:val="BodyText"/>
    <w:rsid w:val="00763D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D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D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D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D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D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D30"/>
    <w:rPr>
      <w:sz w:val="32"/>
    </w:rPr>
  </w:style>
  <w:style w:type="paragraph" w:customStyle="1" w:styleId="HeadingProcedure">
    <w:name w:val="Heading Procedure"/>
    <w:basedOn w:val="HeadingBase"/>
    <w:next w:val="Normal"/>
    <w:rsid w:val="00763D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D30"/>
    <w:pPr>
      <w:spacing w:before="60" w:after="60"/>
    </w:pPr>
  </w:style>
  <w:style w:type="paragraph" w:styleId="ListContinue">
    <w:name w:val="List Continue"/>
    <w:basedOn w:val="List"/>
    <w:rsid w:val="00763D30"/>
    <w:pPr>
      <w:ind w:firstLine="0"/>
    </w:pPr>
  </w:style>
  <w:style w:type="paragraph" w:customStyle="1" w:styleId="ListNote">
    <w:name w:val="List Note"/>
    <w:basedOn w:val="List"/>
    <w:rsid w:val="00763D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D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D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D30"/>
    <w:rPr>
      <w:rFonts w:ascii="Courier New" w:hAnsi="Courier New"/>
    </w:rPr>
  </w:style>
  <w:style w:type="paragraph" w:customStyle="1" w:styleId="NoteBullet">
    <w:name w:val="Note Bullet"/>
    <w:basedOn w:val="Note"/>
    <w:rsid w:val="00763D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D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D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D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D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3D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D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D30"/>
    <w:rPr>
      <w:b/>
      <w:smallCaps/>
    </w:rPr>
  </w:style>
  <w:style w:type="paragraph" w:customStyle="1" w:styleId="TableListNumber">
    <w:name w:val="Table List Number"/>
    <w:basedOn w:val="ListNumber"/>
    <w:rsid w:val="00763D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D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D30"/>
    <w:pPr>
      <w:numPr>
        <w:numId w:val="7"/>
      </w:numPr>
    </w:pPr>
  </w:style>
  <w:style w:type="paragraph" w:customStyle="1" w:styleId="ListAlpha2">
    <w:name w:val="List Alpha 2"/>
    <w:basedOn w:val="List2"/>
    <w:rsid w:val="00763D30"/>
    <w:pPr>
      <w:numPr>
        <w:numId w:val="6"/>
      </w:numPr>
    </w:pPr>
  </w:style>
  <w:style w:type="paragraph" w:styleId="List3">
    <w:name w:val="List 3"/>
    <w:basedOn w:val="BodyText"/>
    <w:rsid w:val="00763D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D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D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D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D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3D30"/>
    <w:pPr>
      <w:numPr>
        <w:numId w:val="2"/>
      </w:numPr>
    </w:pPr>
  </w:style>
  <w:style w:type="paragraph" w:styleId="ListContinue2">
    <w:name w:val="List Continue 2"/>
    <w:basedOn w:val="List2"/>
    <w:rsid w:val="00763D30"/>
    <w:pPr>
      <w:ind w:firstLine="0"/>
    </w:pPr>
  </w:style>
  <w:style w:type="paragraph" w:styleId="ListContinue3">
    <w:name w:val="List Continue 3"/>
    <w:basedOn w:val="List3"/>
    <w:rsid w:val="00763D30"/>
    <w:pPr>
      <w:ind w:left="1021" w:firstLine="0"/>
    </w:pPr>
  </w:style>
  <w:style w:type="paragraph" w:styleId="ListContinue4">
    <w:name w:val="List Continue 4"/>
    <w:basedOn w:val="List4"/>
    <w:rsid w:val="00763D30"/>
    <w:pPr>
      <w:ind w:firstLine="0"/>
    </w:pPr>
  </w:style>
  <w:style w:type="paragraph" w:styleId="ListContinue5">
    <w:name w:val="List Continue 5"/>
    <w:basedOn w:val="List5"/>
    <w:rsid w:val="00763D30"/>
    <w:pPr>
      <w:ind w:firstLine="0"/>
    </w:pPr>
  </w:style>
  <w:style w:type="paragraph" w:styleId="ListNumber3">
    <w:name w:val="List Number 3"/>
    <w:basedOn w:val="List3"/>
    <w:rsid w:val="00763D30"/>
    <w:pPr>
      <w:numPr>
        <w:numId w:val="3"/>
      </w:numPr>
    </w:pPr>
  </w:style>
  <w:style w:type="paragraph" w:styleId="ListNumber4">
    <w:name w:val="List Number 4"/>
    <w:basedOn w:val="List4"/>
    <w:rsid w:val="00763D30"/>
    <w:pPr>
      <w:numPr>
        <w:numId w:val="4"/>
      </w:numPr>
    </w:pPr>
  </w:style>
  <w:style w:type="paragraph" w:styleId="ListNumber5">
    <w:name w:val="List Number 5"/>
    <w:basedOn w:val="List5"/>
    <w:rsid w:val="00763D30"/>
    <w:pPr>
      <w:numPr>
        <w:numId w:val="5"/>
      </w:numPr>
    </w:pPr>
  </w:style>
  <w:style w:type="paragraph" w:styleId="BlockText">
    <w:name w:val="Block Text"/>
    <w:basedOn w:val="Normal"/>
    <w:rsid w:val="00763D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D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D30"/>
    <w:rPr>
      <w:sz w:val="16"/>
      <w:vertAlign w:val="superscript"/>
    </w:rPr>
  </w:style>
  <w:style w:type="character" w:customStyle="1" w:styleId="Symbols">
    <w:name w:val="Symbols"/>
    <w:basedOn w:val="DefaultParagraphFont"/>
    <w:rsid w:val="00763D30"/>
    <w:rPr>
      <w:rFonts w:ascii="Symbol" w:hAnsi="Symbol"/>
    </w:rPr>
  </w:style>
  <w:style w:type="character" w:customStyle="1" w:styleId="MenuOptions">
    <w:name w:val="Menu Options"/>
    <w:basedOn w:val="DefaultParagraphFont"/>
    <w:rsid w:val="00763D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D30"/>
    <w:rPr>
      <w:b/>
    </w:rPr>
  </w:style>
  <w:style w:type="character" w:customStyle="1" w:styleId="Underlined">
    <w:name w:val="Underlined"/>
    <w:basedOn w:val="DefaultParagraphFont"/>
    <w:rsid w:val="00763D30"/>
    <w:rPr>
      <w:u w:val="single"/>
    </w:rPr>
  </w:style>
  <w:style w:type="paragraph" w:customStyle="1" w:styleId="TableBodyTextRight">
    <w:name w:val="Table Body Text Right"/>
    <w:basedOn w:val="TableBodyText"/>
    <w:rsid w:val="00763D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D30"/>
    <w:rPr>
      <w:sz w:val="18"/>
    </w:rPr>
  </w:style>
  <w:style w:type="paragraph" w:customStyle="1" w:styleId="BodySmallRight">
    <w:name w:val="Body Small Right"/>
    <w:basedOn w:val="BodyTextRight"/>
    <w:rsid w:val="00763D30"/>
    <w:rPr>
      <w:sz w:val="18"/>
      <w:szCs w:val="18"/>
    </w:rPr>
  </w:style>
  <w:style w:type="paragraph" w:customStyle="1" w:styleId="MarginEdition">
    <w:name w:val="Margin Edition"/>
    <w:basedOn w:val="MarginNote"/>
    <w:rsid w:val="00763D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D30"/>
    <w:rPr>
      <w:sz w:val="2"/>
      <w:szCs w:val="2"/>
    </w:rPr>
  </w:style>
  <w:style w:type="character" w:customStyle="1" w:styleId="Small">
    <w:name w:val="Small"/>
    <w:basedOn w:val="DefaultParagraphFont"/>
    <w:rsid w:val="00763D30"/>
    <w:rPr>
      <w:sz w:val="16"/>
    </w:rPr>
  </w:style>
  <w:style w:type="paragraph" w:customStyle="1" w:styleId="WideTable">
    <w:name w:val="Wide Table"/>
    <w:basedOn w:val="Normal"/>
    <w:rsid w:val="00763D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D30"/>
  </w:style>
  <w:style w:type="paragraph" w:styleId="Quote">
    <w:name w:val="Quote"/>
    <w:basedOn w:val="Heading1"/>
    <w:link w:val="QuoteChar"/>
    <w:qFormat/>
    <w:rsid w:val="00763D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D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D30"/>
    <w:pPr>
      <w:pageBreakBefore/>
    </w:pPr>
  </w:style>
  <w:style w:type="paragraph" w:customStyle="1" w:styleId="Border">
    <w:name w:val="Border"/>
    <w:basedOn w:val="Normal"/>
    <w:qFormat/>
    <w:rsid w:val="00763D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D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D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D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D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D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D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D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D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D30"/>
    <w:rPr>
      <w:u w:val="single"/>
    </w:rPr>
  </w:style>
  <w:style w:type="character" w:customStyle="1" w:styleId="BoldandItalics">
    <w:name w:val="Bold and Italics"/>
    <w:qFormat/>
    <w:rsid w:val="00763D30"/>
    <w:rPr>
      <w:b/>
      <w:i/>
      <w:u w:val="none"/>
    </w:rPr>
  </w:style>
  <w:style w:type="paragraph" w:styleId="BalloonText">
    <w:name w:val="Balloon Text"/>
    <w:basedOn w:val="Normal"/>
    <w:link w:val="BalloonTextChar"/>
    <w:rsid w:val="00763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D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D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D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D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D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D30"/>
    <w:pPr>
      <w:spacing w:before="0" w:after="0"/>
    </w:pPr>
  </w:style>
  <w:style w:type="paragraph" w:customStyle="1" w:styleId="BodyTextBold">
    <w:name w:val="Body Text Bold"/>
    <w:basedOn w:val="BodyText"/>
    <w:qFormat/>
    <w:rsid w:val="00763D30"/>
    <w:rPr>
      <w:b/>
    </w:rPr>
  </w:style>
  <w:style w:type="character" w:styleId="Hyperlink">
    <w:name w:val="Hyperlink"/>
    <w:basedOn w:val="DefaultParagraphFont"/>
    <w:uiPriority w:val="99"/>
    <w:unhideWhenUsed/>
    <w:rsid w:val="00D52E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3694</Characters>
  <Application>Microsoft Office Word</Application>
  <DocSecurity>0</DocSecurity>
  <Lines>97</Lines>
  <Paragraphs>73</Paragraphs>
  <ScaleCrop>false</ScaleCrop>
  <Company>Author-it Software Corporation Ltd.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HLTDET001 Construct models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2023-07-01T04:02:00Z</dcterms:created>
  <dcterms:modified xsi:type="dcterms:W3CDTF">2023-07-01T04:02:00Z</dcterms:modified>
</cp:coreProperties>
</file>