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B64" w:rsidP="00266B64">
      <w:pPr>
        <w:pStyle w:val="Title"/>
      </w:pPr>
      <w:r>
        <w:fldChar w:fldCharType="begin"/>
      </w:r>
      <w:r>
        <w:instrText xml:space="preserve"> TITLE   \* MERGEFORMAT </w:instrText>
      </w:r>
      <w:r>
        <w:fldChar w:fldCharType="separate"/>
      </w:r>
      <w:r>
        <w:t>HLTDEP008 Construct and insert an implant retained overdenture</w:t>
      </w:r>
      <w:r>
        <w:fldChar w:fldCharType="end"/>
      </w:r>
    </w:p>
    <w:p w:rsidR="00266B64" w:rsidP="00266B64">
      <w:pPr>
        <w:pStyle w:val="Version"/>
        <w:sectPr w:rsidSect="00470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7D2" w:rsidP="004707D2">
      <w:pPr>
        <w:pStyle w:val="SuperHeading"/>
      </w:pPr>
      <w:r w:rsidRPr="004707D2">
        <w:t>HLTDEP008 Construct and insert an implant retained overdenture</w:t>
      </w:r>
    </w:p>
    <w:p w:rsidR="00000000" w:rsidRPr="004707D2" w:rsidP="004707D2">
      <w:pPr>
        <w:pStyle w:val="Heading1"/>
      </w:pPr>
      <w:bookmarkStart w:id="1" w:name="O_819722"/>
      <w:bookmarkEnd w:id="1"/>
      <w:r w:rsidRPr="004707D2">
        <w:t>Modification History</w:t>
      </w:r>
    </w:p>
    <w:tbl>
      <w:tblPr>
        <w:tblW w:w="0" w:type="auto"/>
        <w:tblCellMar>
          <w:left w:w="62" w:type="dxa"/>
          <w:right w:w="62" w:type="dxa"/>
        </w:tblCellMar>
        <w:tblLook w:val="0000"/>
      </w:tblPr>
      <w:tblGrid>
        <w:gridCol w:w="2147"/>
        <w:gridCol w:w="7049"/>
      </w:tblGrid>
      <w:tr w:rsidTr="00266B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D2">
            <w:pPr>
              <w:pStyle w:val="BodyText"/>
              <w:rPr>
                <w:lang w:val="en-NZ"/>
              </w:rPr>
            </w:pPr>
            <w:r w:rsidRPr="004707D2">
              <w:t xml:space="preserve">Release </w:t>
            </w:r>
            <w:r w:rsidRPr="004707D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D2">
            <w:pPr>
              <w:pStyle w:val="BodyText"/>
              <w:rPr>
                <w:lang w:val="en-NZ"/>
              </w:rPr>
            </w:pPr>
            <w:r w:rsidRPr="004707D2">
              <w:t xml:space="preserve">Comments </w:t>
            </w:r>
          </w:p>
        </w:tc>
      </w:tr>
      <w:tr w:rsidTr="00266B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D2">
            <w:pPr>
              <w:pStyle w:val="BodyText"/>
              <w:rPr>
                <w:lang w:val="en-NZ"/>
              </w:rPr>
            </w:pPr>
            <w:r w:rsidRPr="004707D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7D2" w:rsidP="004707D2">
            <w:pPr>
              <w:pStyle w:val="BodyText"/>
            </w:pPr>
            <w:r w:rsidRPr="004707D2">
              <w:t xml:space="preserve">This version was released in </w:t>
            </w:r>
            <w:r w:rsidRPr="004707D2">
              <w:rPr>
                <w:rStyle w:val="Emphasis"/>
              </w:rPr>
              <w:t>HLT Health Training Package release 3.0</w:t>
            </w:r>
            <w:r w:rsidRPr="004707D2">
              <w:t xml:space="preserve"> and meets the requirements of the 2012 Standards for Training Packages.</w:t>
            </w:r>
          </w:p>
          <w:p w:rsidR="00000000" w:rsidRPr="004707D2" w:rsidP="004707D2">
            <w:pPr>
              <w:pStyle w:val="BodyText"/>
            </w:pPr>
            <w:r w:rsidRPr="004707D2">
              <w:t xml:space="preserve">Significant changes to the elements and performance criteria. New evidence requirements for assessment including volume and frequency requirements. Removal of pre-requisites.  </w:t>
            </w:r>
            <w:r w:rsidRPr="004707D2">
              <w:br/>
              <w:t>240 wo</w:t>
            </w:r>
            <w:r w:rsidRPr="004707D2">
              <w:t>rk placement hours</w:t>
            </w:r>
          </w:p>
          <w:p w:rsidR="00000000" w:rsidRPr="004707D2" w:rsidP="004707D2">
            <w:pPr>
              <w:pStyle w:val="BodyText"/>
            </w:pPr>
            <w:r w:rsidRPr="004707D2">
              <w:t>Supersedes HLTDP608C</w:t>
            </w:r>
          </w:p>
        </w:tc>
      </w:tr>
    </w:tbl>
    <w:p w:rsidR="00000000" w:rsidRPr="004707D2" w:rsidP="004707D2">
      <w:pPr>
        <w:pStyle w:val="BodyText"/>
      </w:pPr>
    </w:p>
    <w:p w:rsidR="00000000" w:rsidRPr="004707D2" w:rsidP="004707D2">
      <w:pPr>
        <w:pStyle w:val="AllowPageBreak"/>
      </w:pPr>
    </w:p>
    <w:p w:rsidR="00000000" w:rsidRPr="004707D2" w:rsidP="004707D2">
      <w:pPr>
        <w:pStyle w:val="Heading1"/>
      </w:pPr>
      <w:bookmarkStart w:id="2" w:name="O_819723"/>
      <w:bookmarkEnd w:id="2"/>
      <w:r w:rsidRPr="004707D2">
        <w:t>Application</w:t>
      </w:r>
    </w:p>
    <w:p w:rsidR="00000000" w:rsidRPr="004707D2" w:rsidP="00266B64">
      <w:pPr>
        <w:pStyle w:val="BodyText"/>
      </w:pPr>
      <w:r w:rsidRPr="004707D2">
        <w:t>This unit of competency describes the skills and knowledge required to construct and place an aesthetic, and functional implant retained overdenture.</w:t>
      </w:r>
    </w:p>
    <w:p w:rsidR="00000000" w:rsidRPr="004707D2" w:rsidP="00266B64">
      <w:pPr>
        <w:pStyle w:val="BodyText"/>
      </w:pPr>
      <w:r w:rsidRPr="004707D2">
        <w:t>This unit applies to work in denta</w:t>
      </w:r>
      <w:r w:rsidRPr="004707D2">
        <w:t>l prosthetics where the dental prosthetist must enter into a structured professional relationship with a dentist as defined by the Dental Board of Australia before providing such treatment.</w:t>
      </w:r>
      <w:r w:rsidRPr="004707D2">
        <w:br/>
      </w:r>
    </w:p>
    <w:p w:rsidR="00266B64" w:rsidRPr="00266B64" w:rsidP="00266B64">
      <w:pPr>
        <w:pStyle w:val="BodyText"/>
        <w:rPr>
          <w:i/>
        </w:rPr>
      </w:pPr>
      <w:r w:rsidRPr="00266B64">
        <w:rPr>
          <w:rStyle w:val="Emphasis"/>
        </w:rPr>
        <w:t>The skills in this unit must be applied in accordance with Common</w:t>
      </w:r>
      <w:r w:rsidRPr="00266B64">
        <w:rPr>
          <w:rStyle w:val="Emphasis"/>
        </w:rPr>
        <w:t>wealth and State/Territory legislation, Australian/New Zealand Standards and industry codes of practice</w:t>
      </w:r>
      <w:r w:rsidRPr="00266B64">
        <w:rPr>
          <w:i/>
        </w:rPr>
        <w:t>.</w:t>
      </w:r>
    </w:p>
    <w:p w:rsidR="00000000" w:rsidRPr="004707D2" w:rsidP="004707D2">
      <w:pPr>
        <w:pStyle w:val="Heading1"/>
      </w:pPr>
      <w:bookmarkStart w:id="3" w:name="O_819727"/>
      <w:bookmarkEnd w:id="3"/>
      <w:r w:rsidRPr="004707D2">
        <w:t>Elements and Performance Criteria</w:t>
      </w:r>
    </w:p>
    <w:tbl>
      <w:tblPr>
        <w:tblW w:w="0" w:type="auto"/>
        <w:tblCellMar>
          <w:left w:w="62" w:type="dxa"/>
          <w:right w:w="62" w:type="dxa"/>
        </w:tblCellMar>
        <w:tblLook w:val="0000"/>
      </w:tblPr>
      <w:tblGrid>
        <w:gridCol w:w="3332"/>
        <w:gridCol w:w="5864"/>
      </w:tblGrid>
      <w:tr w:rsidTr="00266B64">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rPr>
                <w:rStyle w:val="SpecialBold"/>
              </w:rPr>
              <w:t>PERFORMANCE CRITERIA</w:t>
            </w:r>
          </w:p>
        </w:tc>
      </w:tr>
      <w:tr w:rsidTr="00266B64">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Performance criteria describe the performance needed to demonstrate achievement of the element.</w:t>
            </w: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1. Plan treatment</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1.1 Ensure a structured professional relationship with a dentist is established</w:t>
            </w:r>
          </w:p>
          <w:p w:rsidR="00000000" w:rsidRPr="004707D2" w:rsidP="004707D2">
            <w:pPr>
              <w:pStyle w:val="BodyText"/>
            </w:pPr>
            <w:r w:rsidRPr="004707D2">
              <w:t>1.2 Obtain accurate, complete and legal records of the patien</w:t>
            </w:r>
            <w:r w:rsidRPr="004707D2">
              <w:t>t’s personal, medical and dental history</w:t>
            </w:r>
          </w:p>
          <w:p w:rsidR="00000000" w:rsidRPr="004707D2" w:rsidP="004707D2">
            <w:pPr>
              <w:pStyle w:val="BodyText"/>
            </w:pPr>
            <w:r w:rsidRPr="004707D2">
              <w:t xml:space="preserve">1.3 Provide details of the procedure to the patient or carer and obtain and document consent following ethical and legal </w:t>
            </w:r>
            <w:r w:rsidRPr="004707D2">
              <w:t>requirements</w:t>
            </w:r>
          </w:p>
          <w:p w:rsidR="00000000" w:rsidRPr="004707D2" w:rsidP="004707D2">
            <w:pPr>
              <w:pStyle w:val="BodyText"/>
            </w:pPr>
            <w:r w:rsidRPr="004707D2">
              <w:t>1.4 Make accessible in the clean zone of the surgery the patient’s required labor</w:t>
            </w:r>
            <w:r w:rsidRPr="004707D2">
              <w:t>atory work and necessary charts and records</w:t>
            </w:r>
          </w:p>
          <w:p w:rsidR="00000000" w:rsidRPr="004707D2" w:rsidP="004707D2">
            <w:pPr>
              <w:pStyle w:val="BodyText"/>
            </w:pPr>
            <w:r w:rsidRPr="004707D2">
              <w:t>1.5 Ensure emergency procedures are in place and ready for use according to relevant guidelines</w:t>
            </w:r>
          </w:p>
          <w:p w:rsidR="00000000" w:rsidP="004707D2">
            <w:pPr>
              <w:pStyle w:val="BodyText"/>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2. Take a primary impression</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2.1 Select correctly the equipment, instruments and materials for the primary impress</w:t>
            </w:r>
            <w:r w:rsidRPr="004707D2">
              <w:t>ion</w:t>
            </w:r>
          </w:p>
          <w:p w:rsidR="00000000" w:rsidRPr="004707D2" w:rsidP="004707D2">
            <w:pPr>
              <w:pStyle w:val="BodyText"/>
            </w:pPr>
            <w:r w:rsidRPr="004707D2">
              <w:t>2.2 Apply standard precautions to take primary impressions of the maxilla and/or mandible using an impression material in stock edentulous trays</w:t>
            </w:r>
          </w:p>
          <w:p w:rsidR="00000000" w:rsidRPr="004707D2" w:rsidP="004707D2">
            <w:pPr>
              <w:pStyle w:val="BodyText"/>
            </w:pPr>
            <w:r w:rsidRPr="004707D2">
              <w:t>2.3 Pour impression material in dental stone and trim for custom tray fabrication</w:t>
            </w:r>
          </w:p>
          <w:p w:rsidR="00000000" w:rsidP="004707D2">
            <w:pPr>
              <w:pStyle w:val="BodyText"/>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3. Prepare to take a final impression</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3.1 Fabricate a custom tray with sufficient spacing over impression copings</w:t>
            </w:r>
          </w:p>
          <w:p w:rsidR="00000000" w:rsidRPr="004707D2" w:rsidP="004707D2">
            <w:pPr>
              <w:pStyle w:val="BodyText"/>
            </w:pPr>
            <w:r w:rsidRPr="004707D2">
              <w:t>3.2 Attach static (non-screw) retained impression copings to the abutments</w:t>
            </w:r>
          </w:p>
          <w:p w:rsidR="00000000" w:rsidRPr="004707D2" w:rsidP="004707D2">
            <w:pPr>
              <w:pStyle w:val="BodyText"/>
            </w:pPr>
            <w:r w:rsidRPr="004707D2">
              <w:t>3.3 Attach impression copings to the abutments</w:t>
            </w:r>
          </w:p>
          <w:p w:rsidR="00000000" w:rsidRPr="004707D2" w:rsidP="004707D2">
            <w:pPr>
              <w:pStyle w:val="BodyText"/>
            </w:pPr>
            <w:r w:rsidRPr="004707D2">
              <w:t>3.4 Try-in the custo</w:t>
            </w:r>
            <w:r w:rsidRPr="004707D2">
              <w:t>m tray in the mouth and check for comfort and path of insertion with sufficient space between tray and impression coping</w:t>
            </w:r>
          </w:p>
          <w:p w:rsidR="00000000" w:rsidP="004707D2">
            <w:pPr>
              <w:pStyle w:val="BodyText"/>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4. Take the final impression</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4.1 Paint the custom tray with an appropriate adhesive for the impression material to be used</w:t>
            </w:r>
          </w:p>
          <w:p w:rsidR="00000000" w:rsidRPr="004707D2" w:rsidP="004707D2">
            <w:pPr>
              <w:pStyle w:val="BodyText"/>
            </w:pPr>
            <w:r w:rsidRPr="004707D2">
              <w:t>4.2 Mix th</w:t>
            </w:r>
            <w:r w:rsidRPr="004707D2">
              <w:t>e selected impression material according to the manufacturer’s instructions and load material into custom tray</w:t>
            </w:r>
          </w:p>
          <w:p w:rsidR="00000000" w:rsidRPr="004707D2" w:rsidP="004707D2">
            <w:pPr>
              <w:pStyle w:val="BodyText"/>
            </w:pPr>
            <w:r w:rsidRPr="004707D2">
              <w:t>4.3 Seat the impression tray over the impression copings</w:t>
            </w:r>
          </w:p>
          <w:p w:rsidR="00000000" w:rsidP="004707D2">
            <w:pPr>
              <w:pStyle w:val="BodyText"/>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5. Pour master and/or working models and fabricate occlusal rims</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5.1 Seat replica anal</w:t>
            </w:r>
            <w:r w:rsidRPr="004707D2">
              <w:t>ogues into impression copings</w:t>
            </w:r>
          </w:p>
          <w:p w:rsidR="00000000" w:rsidRPr="004707D2" w:rsidP="004707D2">
            <w:pPr>
              <w:pStyle w:val="BodyText"/>
            </w:pPr>
            <w:r w:rsidRPr="004707D2">
              <w:t>5.2 Pour master and/or working models</w:t>
            </w:r>
          </w:p>
          <w:p w:rsidR="00000000" w:rsidRPr="004707D2" w:rsidP="004707D2">
            <w:pPr>
              <w:pStyle w:val="BodyText"/>
            </w:pPr>
            <w:r w:rsidRPr="004707D2">
              <w:t xml:space="preserve">5.3 Fabricate customised occlusal rims </w:t>
            </w:r>
          </w:p>
          <w:p w:rsidR="00000000" w:rsidP="004707D2">
            <w:pPr>
              <w:pStyle w:val="ListContinue"/>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6. Record jaw relationships and occlusion</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6.1 Position the patient comfortably for the procedure</w:t>
            </w:r>
          </w:p>
          <w:p w:rsidR="00000000" w:rsidRPr="004707D2" w:rsidP="004707D2">
            <w:pPr>
              <w:pStyle w:val="BodyText"/>
            </w:pPr>
            <w:r w:rsidRPr="004707D2">
              <w:t>6.2 Instruct the patient on participation during the procedure</w:t>
            </w:r>
          </w:p>
          <w:p w:rsidR="00000000" w:rsidRPr="004707D2" w:rsidP="004707D2">
            <w:pPr>
              <w:pStyle w:val="BodyText"/>
            </w:pPr>
            <w:r w:rsidRPr="004707D2">
              <w:t>6.3 Ensure stability and comfort of registration rims</w:t>
            </w:r>
          </w:p>
          <w:p w:rsidR="00000000" w:rsidRPr="004707D2" w:rsidP="004707D2">
            <w:pPr>
              <w:pStyle w:val="BodyText"/>
            </w:pPr>
            <w:r w:rsidRPr="004707D2">
              <w:t>6.4 Observe centric and eccentric mandibular movements</w:t>
            </w:r>
          </w:p>
          <w:p w:rsidR="00000000" w:rsidRPr="004707D2" w:rsidP="004707D2">
            <w:pPr>
              <w:pStyle w:val="BodyText"/>
            </w:pPr>
            <w:r w:rsidRPr="004707D2">
              <w:t>6.5 Determine and record functional measurements and dimensions</w:t>
            </w:r>
          </w:p>
          <w:p w:rsidR="00000000" w:rsidRPr="004707D2" w:rsidP="004707D2">
            <w:pPr>
              <w:pStyle w:val="BodyText"/>
            </w:pPr>
            <w:r w:rsidRPr="004707D2">
              <w:t>6.6 Consider referra</w:t>
            </w:r>
            <w:r w:rsidRPr="004707D2">
              <w:t>l if jaw relationship cannot be determined</w:t>
            </w:r>
          </w:p>
          <w:p w:rsidR="00000000" w:rsidRPr="004707D2" w:rsidP="004707D2">
            <w:pPr>
              <w:pStyle w:val="BodyText"/>
            </w:pPr>
            <w:r w:rsidRPr="004707D2">
              <w:t>6.7 Check recordings by observation and repetition</w:t>
            </w:r>
          </w:p>
          <w:p w:rsidR="00000000" w:rsidRPr="004707D2" w:rsidP="004707D2">
            <w:pPr>
              <w:pStyle w:val="BodyText"/>
            </w:pPr>
            <w:r w:rsidRPr="004707D2">
              <w:t>6.8 Maintain integrity of the recording during extra-oral transfer</w:t>
            </w:r>
          </w:p>
          <w:p w:rsidR="00000000" w:rsidRPr="004707D2" w:rsidP="004707D2">
            <w:pPr>
              <w:pStyle w:val="BodyText"/>
            </w:pPr>
            <w:r w:rsidRPr="004707D2">
              <w:t>6.9 Ensure the patient’s wellbeing before they leave dental workplace</w:t>
            </w:r>
          </w:p>
          <w:p w:rsidR="00000000" w:rsidP="004707D2">
            <w:pPr>
              <w:pStyle w:val="ListContinue"/>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 xml:space="preserve">7. Select appropriate </w:t>
            </w:r>
            <w:r w:rsidRPr="004707D2">
              <w:t>artificial teeth</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7.1 Ensure adequacy of natural and artificial light for selection of colour and shade</w:t>
            </w:r>
          </w:p>
          <w:p w:rsidR="00000000" w:rsidRPr="004707D2" w:rsidP="004707D2">
            <w:pPr>
              <w:pStyle w:val="BodyText"/>
            </w:pPr>
            <w:r w:rsidRPr="004707D2">
              <w:t>7.2 Consult patient regarding aesthetic and functional requirements</w:t>
            </w:r>
          </w:p>
          <w:p w:rsidR="00000000" w:rsidRPr="004707D2" w:rsidP="004707D2">
            <w:pPr>
              <w:pStyle w:val="BodyText"/>
            </w:pPr>
            <w:r w:rsidRPr="004707D2">
              <w:t>7.3 Consider properties and composition of artificial teeth in relation to wear and aesthetics</w:t>
            </w:r>
          </w:p>
          <w:p w:rsidR="00000000" w:rsidRPr="004707D2" w:rsidP="004707D2">
            <w:pPr>
              <w:pStyle w:val="BodyText"/>
            </w:pPr>
            <w:r w:rsidRPr="004707D2">
              <w:t>7.4 Examine manufacturer’s mould and shade guides</w:t>
            </w:r>
          </w:p>
          <w:p w:rsidR="00000000" w:rsidRPr="004707D2" w:rsidP="004707D2">
            <w:pPr>
              <w:pStyle w:val="BodyText"/>
            </w:pPr>
            <w:r w:rsidRPr="004707D2">
              <w:t>7.5 Select artificial teeth that are appropriate in shade, size and shape</w:t>
            </w:r>
          </w:p>
          <w:p w:rsidR="00000000" w:rsidP="004707D2">
            <w:pPr>
              <w:pStyle w:val="ListContinue"/>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8. Fit and evaluate try-in prosthe</w:t>
            </w:r>
            <w:r w:rsidRPr="004707D2">
              <w:t>sis</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8.1 Position the patient comfortably for the procedure</w:t>
            </w:r>
          </w:p>
          <w:p w:rsidR="00000000" w:rsidRPr="004707D2" w:rsidP="004707D2">
            <w:pPr>
              <w:pStyle w:val="BodyText"/>
            </w:pPr>
            <w:r w:rsidRPr="004707D2">
              <w:t>8.2 Instruct the patient on participation during the procedure</w:t>
            </w:r>
          </w:p>
          <w:p w:rsidR="00000000" w:rsidRPr="004707D2" w:rsidP="004707D2">
            <w:pPr>
              <w:pStyle w:val="BodyText"/>
            </w:pPr>
            <w:r w:rsidRPr="004707D2">
              <w:t>8.3 Examine the try-in prosthesis for retention and stability</w:t>
            </w:r>
          </w:p>
          <w:p w:rsidR="00000000" w:rsidRPr="004707D2" w:rsidP="004707D2">
            <w:pPr>
              <w:pStyle w:val="BodyText"/>
            </w:pPr>
            <w:r w:rsidRPr="004707D2">
              <w:t>8.4 Examine the occlusal relationships of the try-in prosthesis for accu</w:t>
            </w:r>
            <w:r w:rsidRPr="004707D2">
              <w:t>racy of centric relation</w:t>
            </w:r>
          </w:p>
          <w:p w:rsidR="00000000" w:rsidRPr="004707D2" w:rsidP="004707D2">
            <w:pPr>
              <w:pStyle w:val="BodyText"/>
            </w:pPr>
            <w:r w:rsidRPr="004707D2">
              <w:t>8.5 Assess the aesthetic appearance of teeth and gums</w:t>
            </w:r>
          </w:p>
          <w:p w:rsidR="00000000" w:rsidRPr="004707D2" w:rsidP="004707D2">
            <w:pPr>
              <w:pStyle w:val="BodyText"/>
            </w:pPr>
            <w:r w:rsidRPr="004707D2">
              <w:t>8.6 Assess that speech has not been affected</w:t>
            </w:r>
          </w:p>
          <w:p w:rsidR="00000000" w:rsidRPr="004707D2" w:rsidP="004707D2">
            <w:pPr>
              <w:pStyle w:val="BodyText"/>
            </w:pPr>
            <w:r w:rsidRPr="004707D2">
              <w:t>8.7 Assess patient comfort</w:t>
            </w:r>
          </w:p>
          <w:p w:rsidR="00000000" w:rsidRPr="004707D2" w:rsidP="004707D2">
            <w:pPr>
              <w:pStyle w:val="BodyText"/>
            </w:pPr>
            <w:r w:rsidRPr="004707D2">
              <w:t>8.8 Complete documentation as required</w:t>
            </w:r>
          </w:p>
          <w:p w:rsidR="00000000" w:rsidP="004707D2">
            <w:pPr>
              <w:pStyle w:val="BodyText"/>
              <w:rPr>
                <w:lang w:val="en-NZ"/>
              </w:rPr>
            </w:pP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t>9. Process, evaluate and insert the completed overdenture</w:t>
            </w:r>
          </w:p>
        </w:tc>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9.1 Position the patient comfortably for the procedure</w:t>
            </w:r>
          </w:p>
          <w:p w:rsidR="00000000" w:rsidRPr="004707D2" w:rsidP="004707D2">
            <w:pPr>
              <w:pStyle w:val="BodyText"/>
            </w:pPr>
            <w:r w:rsidRPr="004707D2">
              <w:t>9.2 Instruct the patient on participation during the procedure</w:t>
            </w:r>
          </w:p>
          <w:p w:rsidR="00000000" w:rsidRPr="004707D2" w:rsidP="004707D2">
            <w:pPr>
              <w:pStyle w:val="BodyText"/>
            </w:pPr>
            <w:r w:rsidRPr="004707D2">
              <w:t>9.3 Examine the prosthesis for retention and stability</w:t>
            </w:r>
          </w:p>
          <w:p w:rsidR="00000000" w:rsidRPr="004707D2" w:rsidP="004707D2">
            <w:pPr>
              <w:pStyle w:val="BodyText"/>
            </w:pPr>
            <w:r w:rsidRPr="004707D2">
              <w:t>9.4 Check the fitting surfaces of the appliance and ensure there are no sharp ridge</w:t>
            </w:r>
            <w:r w:rsidRPr="004707D2">
              <w:t>s or acrylic pearls</w:t>
            </w:r>
          </w:p>
          <w:p w:rsidR="00000000" w:rsidRPr="004707D2" w:rsidP="004707D2">
            <w:pPr>
              <w:pStyle w:val="BodyText"/>
            </w:pPr>
            <w:r w:rsidRPr="004707D2">
              <w:t>9.5 Place denture in the mouth and assess that no over-extensions occur along the periphery of the dentures</w:t>
            </w:r>
          </w:p>
          <w:p w:rsidR="00000000" w:rsidRPr="004707D2" w:rsidP="004707D2">
            <w:pPr>
              <w:pStyle w:val="BodyText"/>
            </w:pPr>
            <w:r w:rsidRPr="004707D2">
              <w:t>9.6 Seat denture onto overdenture abutments</w:t>
            </w:r>
          </w:p>
          <w:p w:rsidR="00000000" w:rsidRPr="004707D2" w:rsidP="004707D2">
            <w:pPr>
              <w:pStyle w:val="BodyText"/>
            </w:pPr>
            <w:r w:rsidRPr="004707D2">
              <w:t>9.7 Confirm the occlusal relationships are acceptable</w:t>
            </w:r>
          </w:p>
          <w:p w:rsidR="00000000" w:rsidRPr="004707D2" w:rsidP="004707D2">
            <w:pPr>
              <w:pStyle w:val="BodyText"/>
            </w:pPr>
            <w:r w:rsidRPr="004707D2">
              <w:t>9.8 Assess aesthetics of remov</w:t>
            </w:r>
            <w:r w:rsidRPr="004707D2">
              <w:t>able dental prosthesis</w:t>
            </w:r>
          </w:p>
          <w:p w:rsidR="00000000" w:rsidRPr="004707D2" w:rsidP="004707D2">
            <w:pPr>
              <w:pStyle w:val="BodyText"/>
            </w:pPr>
            <w:r w:rsidRPr="004707D2">
              <w:t>9.9 Assess phonetics of removable dental prosthesis</w:t>
            </w:r>
          </w:p>
          <w:p w:rsidR="00000000" w:rsidRPr="004707D2" w:rsidP="004707D2">
            <w:pPr>
              <w:pStyle w:val="BodyText"/>
            </w:pPr>
            <w:r w:rsidRPr="004707D2">
              <w:t>9.10 Assess patient comfort of removable dental prosthesis.</w:t>
            </w:r>
          </w:p>
          <w:p w:rsidR="00000000" w:rsidRPr="004707D2" w:rsidP="004707D2">
            <w:pPr>
              <w:pStyle w:val="BodyText"/>
            </w:pPr>
            <w:r w:rsidRPr="004707D2">
              <w:t>9.11 Provide instructions on the insertion and removal, hygiene and ongoing maintenance of the prosthesis and abutments</w:t>
            </w:r>
          </w:p>
          <w:p w:rsidR="00000000" w:rsidRPr="004707D2" w:rsidP="004707D2">
            <w:pPr>
              <w:pStyle w:val="BodyText"/>
            </w:pPr>
            <w:r w:rsidRPr="004707D2">
              <w:t>9</w:t>
            </w:r>
            <w:r w:rsidRPr="004707D2">
              <w:t>.12 Ensure the dentist in the structured professional relationship is informed of completed final prosthesis</w:t>
            </w:r>
          </w:p>
        </w:tc>
      </w:tr>
    </w:tbl>
    <w:p w:rsidR="00000000" w:rsidRPr="004707D2" w:rsidP="004707D2">
      <w:pPr>
        <w:pStyle w:val="BodyText"/>
      </w:pPr>
    </w:p>
    <w:p w:rsidR="00000000" w:rsidRPr="004707D2" w:rsidP="004707D2">
      <w:pPr>
        <w:pStyle w:val="AllowPageBreak"/>
      </w:pPr>
    </w:p>
    <w:p w:rsidR="00000000" w:rsidRPr="004707D2" w:rsidP="004707D2">
      <w:pPr>
        <w:pStyle w:val="Heading1"/>
      </w:pPr>
      <w:bookmarkStart w:id="4" w:name="O_819728"/>
      <w:bookmarkEnd w:id="4"/>
      <w:r w:rsidRPr="004707D2">
        <w:t>Foundation Skills</w:t>
      </w:r>
    </w:p>
    <w:tbl>
      <w:tblPr>
        <w:tblW w:w="0" w:type="auto"/>
        <w:tblCellMar>
          <w:left w:w="62" w:type="dxa"/>
          <w:right w:w="62" w:type="dxa"/>
        </w:tblCellMar>
        <w:tblLook w:val="0000"/>
      </w:tblPr>
      <w:tblGrid>
        <w:gridCol w:w="9196"/>
      </w:tblGrid>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7D2">
            <w:pPr>
              <w:pStyle w:val="BodyText"/>
              <w:rPr>
                <w:lang w:val="en-NZ"/>
              </w:rPr>
            </w:pPr>
            <w:r w:rsidRPr="004707D2">
              <w:rPr>
                <w:rStyle w:val="Emphasis"/>
              </w:rPr>
              <w:t>The Foundation Skills describe those required skills (language, literacy, numeracy and employment skills) that</w:t>
            </w:r>
            <w:r w:rsidRPr="004707D2">
              <w:rPr>
                <w:rStyle w:val="Emphasis"/>
              </w:rPr>
              <w:t xml:space="preserve"> </w:t>
            </w:r>
            <w:r w:rsidRPr="004707D2">
              <w:t xml:space="preserve">are essential to </w:t>
            </w:r>
            <w:r w:rsidRPr="004707D2">
              <w:rPr>
                <w:rStyle w:val="Emphasis"/>
              </w:rPr>
              <w:t>performance.</w:t>
            </w:r>
          </w:p>
        </w:tc>
      </w:tr>
      <w:tr w:rsidTr="00266B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7D2" w:rsidP="004707D2">
            <w:pPr>
              <w:pStyle w:val="BodyText"/>
            </w:pPr>
            <w:r w:rsidRPr="004707D2">
              <w:t>Foundation skills essential to performance are explicit in the performance criteria of this unit of competency.</w:t>
            </w:r>
          </w:p>
        </w:tc>
      </w:tr>
    </w:tbl>
    <w:p w:rsidR="00266B64" w:rsidP="004707D2">
      <w:pPr>
        <w:pStyle w:val="BodyText"/>
      </w:pPr>
    </w:p>
    <w:p w:rsidR="00266B64" w:rsidP="004707D2">
      <w:pPr>
        <w:pStyle w:val="BodyText"/>
      </w:pPr>
    </w:p>
    <w:p w:rsidR="00000000" w:rsidRPr="004707D2" w:rsidP="004707D2">
      <w:pPr>
        <w:pStyle w:val="Heading1"/>
      </w:pPr>
      <w:bookmarkStart w:id="5" w:name="O_819730"/>
      <w:bookmarkEnd w:id="5"/>
      <w:r w:rsidRPr="004707D2">
        <w:t>Unit Mapping Information</w:t>
      </w:r>
    </w:p>
    <w:p w:rsidR="00000000" w:rsidRPr="004707D2" w:rsidP="00266B64">
      <w:pPr>
        <w:pStyle w:val="BodyText"/>
      </w:pPr>
      <w:r w:rsidRPr="004707D2">
        <w:t xml:space="preserve">No Equivalent Unit </w:t>
      </w:r>
    </w:p>
    <w:p w:rsidR="00000000" w:rsidRPr="004707D2" w:rsidP="004707D2">
      <w:pPr>
        <w:pStyle w:val="Heading1"/>
      </w:pPr>
      <w:bookmarkStart w:id="6" w:name="O_819737"/>
      <w:bookmarkEnd w:id="6"/>
      <w:r w:rsidRPr="004707D2">
        <w:t>Links</w:t>
      </w:r>
    </w:p>
    <w:p w:rsidR="00000000" w:rsidRPr="004707D2" w:rsidP="00266B64">
      <w:pPr>
        <w:pStyle w:val="BodyText"/>
      </w:pPr>
      <w:r w:rsidRPr="004707D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C3AD8">
        <w:rPr>
          <w:rStyle w:val="Hyperlink"/>
        </w:rPr>
        <w:t>https://vetnet.gov.au/Pages/TrainingDocs.aspx?q=ced1390f-48d9-4ab0-bd50-b015e5485705</w:t>
      </w:r>
      <w:r>
        <w:fldChar w:fldCharType="end"/>
      </w:r>
    </w:p>
    <w:p w:rsidR="00000000" w:rsidRPr="004707D2" w:rsidP="00266B64">
      <w:pPr>
        <w:pStyle w:val="BodyText"/>
        <w:sectPr w:rsidSect="004707D2">
          <w:headerReference w:type="default" r:id="rId10"/>
          <w:footerReference w:type="default" r:id="rId11"/>
          <w:pgSz w:w="11908" w:h="16833"/>
          <w:pgMar w:top="1702" w:right="1418" w:bottom="1702" w:left="1418" w:header="992" w:footer="992" w:gutter="0"/>
          <w:cols w:space="720"/>
          <w:noEndnote/>
          <w:docGrid w:linePitch="299"/>
        </w:sectPr>
      </w:pPr>
    </w:p>
    <w:p w:rsidR="00000000" w:rsidRPr="004707D2" w:rsidP="004707D2">
      <w:pPr>
        <w:pStyle w:val="SuperHeading"/>
      </w:pPr>
      <w:r w:rsidRPr="004707D2">
        <w:t>Assessment Requirements for HLTDEP008 Construct and insert an i</w:t>
      </w:r>
      <w:r w:rsidRPr="004707D2">
        <w:t>mplant retained overdenture</w:t>
      </w:r>
    </w:p>
    <w:p w:rsidR="00000000" w:rsidRPr="004707D2" w:rsidP="004707D2">
      <w:pPr>
        <w:pStyle w:val="Heading1"/>
      </w:pPr>
      <w:bookmarkStart w:id="7" w:name="O_819732"/>
      <w:bookmarkEnd w:id="7"/>
      <w:r w:rsidRPr="004707D2">
        <w:t>Modification History</w:t>
      </w:r>
    </w:p>
    <w:tbl>
      <w:tblPr>
        <w:tblW w:w="0" w:type="auto"/>
        <w:tblCellMar>
          <w:left w:w="62" w:type="dxa"/>
          <w:right w:w="62" w:type="dxa"/>
        </w:tblCellMar>
        <w:tblLook w:val="0000"/>
      </w:tblPr>
      <w:tblGrid>
        <w:gridCol w:w="2147"/>
        <w:gridCol w:w="7049"/>
      </w:tblGrid>
      <w:tr w:rsidTr="00266B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D2">
            <w:pPr>
              <w:pStyle w:val="BodyText"/>
              <w:rPr>
                <w:lang w:val="en-NZ"/>
              </w:rPr>
            </w:pPr>
            <w:r w:rsidRPr="004707D2">
              <w:t xml:space="preserve">Release </w:t>
            </w:r>
            <w:r w:rsidRPr="004707D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D2">
            <w:pPr>
              <w:pStyle w:val="BodyText"/>
              <w:rPr>
                <w:lang w:val="en-NZ"/>
              </w:rPr>
            </w:pPr>
            <w:r w:rsidRPr="004707D2">
              <w:t xml:space="preserve">Comments </w:t>
            </w:r>
          </w:p>
        </w:tc>
      </w:tr>
      <w:tr w:rsidTr="00266B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D2">
            <w:pPr>
              <w:pStyle w:val="BodyText"/>
              <w:rPr>
                <w:lang w:val="en-NZ"/>
              </w:rPr>
            </w:pPr>
            <w:r w:rsidRPr="004707D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7D2" w:rsidP="004707D2">
            <w:pPr>
              <w:pStyle w:val="BodyText"/>
            </w:pPr>
            <w:r w:rsidRPr="004707D2">
              <w:t xml:space="preserve">This version was released in </w:t>
            </w:r>
            <w:r w:rsidRPr="004707D2">
              <w:rPr>
                <w:rStyle w:val="Emphasis"/>
              </w:rPr>
              <w:t>HLT Health Training Package release 3.0</w:t>
            </w:r>
            <w:r w:rsidRPr="004707D2">
              <w:t xml:space="preserve"> and meets the requirements of the 2012 Standards for Training Packages.</w:t>
            </w:r>
          </w:p>
          <w:p w:rsidR="00000000" w:rsidRPr="004707D2" w:rsidP="004707D2">
            <w:pPr>
              <w:pStyle w:val="BodyText"/>
            </w:pPr>
            <w:r w:rsidRPr="004707D2">
              <w:t>Significant changes to the elements and performance criteria. New evidence requirements for assessment including volume and frequency requirements. Removal of pre-requisites.</w:t>
            </w:r>
            <w:r w:rsidRPr="004707D2">
              <w:br/>
              <w:t>240 work placement hours</w:t>
            </w:r>
          </w:p>
          <w:p w:rsidR="00000000" w:rsidRPr="004707D2" w:rsidP="004707D2">
            <w:pPr>
              <w:pStyle w:val="BodyText"/>
            </w:pPr>
            <w:r w:rsidRPr="004707D2">
              <w:t>Supersedes HLTDP608C</w:t>
            </w:r>
          </w:p>
        </w:tc>
      </w:tr>
    </w:tbl>
    <w:p w:rsidR="00000000" w:rsidRPr="004707D2" w:rsidP="004707D2">
      <w:pPr>
        <w:pStyle w:val="BodyText"/>
      </w:pPr>
    </w:p>
    <w:p w:rsidR="00000000" w:rsidRPr="004707D2" w:rsidP="004707D2">
      <w:pPr>
        <w:pStyle w:val="AllowPageBreak"/>
      </w:pPr>
    </w:p>
    <w:p w:rsidR="00000000" w:rsidRPr="004707D2" w:rsidP="004707D2">
      <w:pPr>
        <w:pStyle w:val="Heading1"/>
      </w:pPr>
      <w:bookmarkStart w:id="8" w:name="O_819733"/>
      <w:bookmarkEnd w:id="8"/>
      <w:r w:rsidRPr="004707D2">
        <w:t>Performance Evid</w:t>
      </w:r>
      <w:r w:rsidRPr="004707D2">
        <w:t>ence</w:t>
      </w:r>
    </w:p>
    <w:p w:rsidR="00000000" w:rsidRPr="004707D2" w:rsidP="00266B64">
      <w:pPr>
        <w:pStyle w:val="BodyText"/>
      </w:pPr>
      <w:r w:rsidRPr="004707D2">
        <w:t xml:space="preserve">The candidate must show evidence of the ability to complete tasks outlined in elements and performance criteria of this unit, manage tasks and manage contingencies in the context of the job role. There must be evidence that the candidate has: </w:t>
      </w:r>
    </w:p>
    <w:p w:rsidR="00000000" w:rsidRPr="004707D2" w:rsidP="004707D2">
      <w:pPr>
        <w:pStyle w:val="List"/>
      </w:pPr>
      <w:r w:rsidRPr="004707D2">
        <w:t>•</w:t>
      </w:r>
      <w:r w:rsidRPr="004707D2">
        <w:tab/>
        <w:t>perfo</w:t>
      </w:r>
      <w:r w:rsidRPr="004707D2">
        <w:t>rmed the activities outlined in the performance criteria of this unit during a period of at least 240 hours of work in a clinical dental workplace environment</w:t>
      </w:r>
    </w:p>
    <w:p w:rsidR="00000000" w:rsidRPr="004707D2" w:rsidP="004707D2">
      <w:pPr>
        <w:pStyle w:val="List"/>
      </w:pPr>
      <w:r w:rsidRPr="004707D2">
        <w:t>•</w:t>
      </w:r>
      <w:r w:rsidRPr="004707D2">
        <w:tab/>
        <w:t>prepared 2 patients for insertion of an implant retained overdenture</w:t>
      </w:r>
    </w:p>
    <w:p w:rsidR="00000000" w:rsidRPr="004707D2" w:rsidP="004707D2">
      <w:pPr>
        <w:pStyle w:val="List"/>
      </w:pPr>
      <w:r w:rsidRPr="004707D2">
        <w:t>•</w:t>
      </w:r>
      <w:r w:rsidRPr="004707D2">
        <w:tab/>
        <w:t>followed procedures to e</w:t>
      </w:r>
      <w:r w:rsidRPr="004707D2">
        <w:t>nsure patient safety during try-in and insertion</w:t>
      </w:r>
    </w:p>
    <w:p w:rsidR="00266B64" w:rsidP="004707D2">
      <w:pPr>
        <w:pStyle w:val="List"/>
      </w:pPr>
      <w:r w:rsidRPr="004707D2">
        <w:t>•</w:t>
      </w:r>
      <w:r w:rsidRPr="004707D2">
        <w:tab/>
        <w:t>constructed 2 functional and aesthetic implant retained overdentures.</w:t>
      </w:r>
    </w:p>
    <w:p w:rsidR="00266B64" w:rsidP="004707D2">
      <w:pPr>
        <w:pStyle w:val="List"/>
      </w:pPr>
    </w:p>
    <w:p w:rsidR="00000000" w:rsidRPr="004707D2" w:rsidP="004707D2">
      <w:pPr>
        <w:pStyle w:val="Heading1"/>
      </w:pPr>
      <w:bookmarkStart w:id="9" w:name="O_819734"/>
      <w:bookmarkEnd w:id="9"/>
      <w:r w:rsidRPr="004707D2">
        <w:t>Knowledge Evidence</w:t>
      </w:r>
    </w:p>
    <w:p w:rsidR="00000000" w:rsidRPr="004707D2" w:rsidP="00266B64">
      <w:pPr>
        <w:pStyle w:val="BodyText"/>
      </w:pPr>
      <w:r w:rsidRPr="004707D2">
        <w:t>The candidate must be able to demonstrate essential knowledge required to effectively complete tas</w:t>
      </w:r>
      <w:r w:rsidRPr="004707D2">
        <w:t>ks outlined in elements and performance criteria of this unit, manage the task and manage contingencies in the context of the work role. This includes knowledge of:</w:t>
      </w:r>
    </w:p>
    <w:p w:rsidR="00000000" w:rsidRPr="004707D2" w:rsidP="004707D2">
      <w:pPr>
        <w:pStyle w:val="ListBullet"/>
      </w:pPr>
      <w:r w:rsidRPr="004707D2">
        <w:t>Australian/New Zealand Standards, workplace health and safety (WHS) policies, Dental Board</w:t>
      </w:r>
      <w:r w:rsidRPr="004707D2">
        <w:t xml:space="preserve"> of Australia guidelines on infection control, Commonwealth and State/Territory legislation and organisation policies relating to dental prosthetics work</w:t>
      </w:r>
    </w:p>
    <w:p w:rsidR="00000000" w:rsidRPr="004707D2" w:rsidP="004707D2">
      <w:pPr>
        <w:pStyle w:val="ListBullet"/>
      </w:pPr>
      <w:r w:rsidRPr="004707D2">
        <w:t>dental practice or organisation policy and procedures, including registration standards and guidelines</w:t>
      </w:r>
    </w:p>
    <w:p w:rsidR="00000000" w:rsidRPr="004707D2" w:rsidP="004707D2">
      <w:pPr>
        <w:pStyle w:val="ListBullet"/>
      </w:pPr>
      <w:r w:rsidRPr="004707D2">
        <w:t>advantages of an implant retained overdenture to the patient including:</w:t>
      </w:r>
    </w:p>
    <w:p w:rsidR="00000000" w:rsidRPr="004707D2" w:rsidP="004707D2">
      <w:pPr>
        <w:pStyle w:val="ListBullet2"/>
      </w:pPr>
      <w:r w:rsidRPr="004707D2">
        <w:t>better aesthetics especially when resorption has decreased the size of the alveolar process in the maxilla</w:t>
      </w:r>
    </w:p>
    <w:p w:rsidR="00000000" w:rsidRPr="004707D2" w:rsidP="004707D2">
      <w:pPr>
        <w:pStyle w:val="ListBullet2"/>
      </w:pPr>
      <w:r w:rsidRPr="004707D2">
        <w:t>fewer implants, abutments and prosthetic components</w:t>
      </w:r>
    </w:p>
    <w:p w:rsidR="00000000" w:rsidRPr="004707D2" w:rsidP="004707D2">
      <w:pPr>
        <w:pStyle w:val="ListBullet2"/>
      </w:pPr>
      <w:r w:rsidRPr="004707D2">
        <w:t>less component stress a</w:t>
      </w:r>
      <w:r w:rsidRPr="004707D2">
        <w:t>nd breakage</w:t>
      </w:r>
    </w:p>
    <w:p w:rsidR="00000000" w:rsidRPr="004707D2" w:rsidP="004707D2">
      <w:pPr>
        <w:pStyle w:val="ListBullet2"/>
      </w:pPr>
      <w:r w:rsidRPr="004707D2">
        <w:t>lower treatment costs compared to fixed prosthetics</w:t>
      </w:r>
    </w:p>
    <w:p w:rsidR="00000000" w:rsidRPr="004707D2" w:rsidP="004707D2">
      <w:pPr>
        <w:pStyle w:val="ListBullet2"/>
      </w:pPr>
      <w:r w:rsidRPr="004707D2">
        <w:t>simplified construction technique</w:t>
      </w:r>
    </w:p>
    <w:p w:rsidR="00000000" w:rsidRPr="004707D2" w:rsidP="004707D2">
      <w:pPr>
        <w:pStyle w:val="ListBullet"/>
      </w:pPr>
      <w:r w:rsidRPr="004707D2">
        <w:t>the specific skills and techniques that are required when processing implant overdentures for a successful outcome</w:t>
      </w:r>
    </w:p>
    <w:p w:rsidR="00000000" w:rsidRPr="004707D2" w:rsidP="004707D2">
      <w:pPr>
        <w:pStyle w:val="ListBullet"/>
      </w:pPr>
      <w:r w:rsidRPr="004707D2">
        <w:t>disadvantages of implant retained overdent</w:t>
      </w:r>
      <w:r w:rsidRPr="004707D2">
        <w:t>ures including the wear of attachments with repeated removal and seating of the overdentures</w:t>
      </w:r>
    </w:p>
    <w:p w:rsidR="00000000" w:rsidRPr="004707D2" w:rsidP="004707D2">
      <w:pPr>
        <w:pStyle w:val="ListBullet"/>
      </w:pPr>
      <w:r w:rsidRPr="004707D2">
        <w:t>properties of dental materials used for construction</w:t>
      </w:r>
    </w:p>
    <w:p w:rsidR="00000000" w:rsidRPr="004707D2" w:rsidP="004707D2">
      <w:pPr>
        <w:pStyle w:val="ListBullet"/>
      </w:pPr>
      <w:r w:rsidRPr="004707D2">
        <w:t xml:space="preserve">implant attachment options for overdentures </w:t>
      </w:r>
    </w:p>
    <w:p w:rsidR="00000000" w:rsidRPr="004707D2" w:rsidP="004707D2">
      <w:pPr>
        <w:pStyle w:val="ListBullet"/>
      </w:pPr>
      <w:r w:rsidRPr="004707D2">
        <w:t>importance for patients to follow pre and post-procedural instruc</w:t>
      </w:r>
      <w:r w:rsidRPr="004707D2">
        <w:t>tions, including:</w:t>
      </w:r>
    </w:p>
    <w:p w:rsidR="00000000" w:rsidRPr="004707D2" w:rsidP="004707D2">
      <w:pPr>
        <w:pStyle w:val="ListBullet2"/>
      </w:pPr>
      <w:r w:rsidRPr="004707D2">
        <w:t>removal of the overdenture</w:t>
      </w:r>
    </w:p>
    <w:p w:rsidR="00000000" w:rsidRPr="004707D2" w:rsidP="004707D2">
      <w:pPr>
        <w:pStyle w:val="ListBullet2"/>
      </w:pPr>
      <w:r w:rsidRPr="004707D2">
        <w:t>use of a standard soft toothbrush to brush abutments</w:t>
      </w:r>
    </w:p>
    <w:p w:rsidR="00000000" w:rsidRPr="004707D2" w:rsidP="004707D2">
      <w:pPr>
        <w:pStyle w:val="ListBullet2"/>
      </w:pPr>
      <w:r w:rsidRPr="004707D2">
        <w:t>use of dental floss to clean under the bar and around each abutment cylinder</w:t>
      </w:r>
    </w:p>
    <w:p w:rsidR="00000000" w:rsidRPr="004707D2" w:rsidP="004707D2">
      <w:pPr>
        <w:pStyle w:val="ListBullet2"/>
      </w:pPr>
      <w:r w:rsidRPr="004707D2">
        <w:t>use of an interdental brush to clean the under surface of the denture and the overdenture framework</w:t>
      </w:r>
    </w:p>
    <w:p w:rsidR="00000000" w:rsidRPr="004707D2" w:rsidP="004707D2">
      <w:pPr>
        <w:pStyle w:val="ListBullet2"/>
      </w:pPr>
      <w:r w:rsidRPr="004707D2">
        <w:t>instructions on the insertion and removal, hygiene and ongoing maintenance of the prosthesis and abutments.</w:t>
      </w:r>
    </w:p>
    <w:p w:rsidR="00000000" w:rsidRPr="004707D2" w:rsidP="004707D2">
      <w:pPr>
        <w:pStyle w:val="AllowPageBreak"/>
      </w:pPr>
    </w:p>
    <w:p w:rsidR="00000000" w:rsidRPr="004707D2" w:rsidP="004707D2">
      <w:pPr>
        <w:pStyle w:val="Heading1"/>
      </w:pPr>
      <w:bookmarkStart w:id="10" w:name="O_819735"/>
      <w:bookmarkEnd w:id="10"/>
      <w:r w:rsidRPr="004707D2">
        <w:t>Assessment Conditions</w:t>
      </w:r>
    </w:p>
    <w:p w:rsidR="00000000" w:rsidRPr="004707D2" w:rsidP="00266B64">
      <w:pPr>
        <w:pStyle w:val="BodyText"/>
      </w:pPr>
      <w:r w:rsidRPr="004707D2">
        <w:t>Skills mu</w:t>
      </w:r>
      <w:r w:rsidRPr="004707D2">
        <w:t>st have been demonstrated in the dental workplace or in a simulated environment that reflects workplace conditions. The following conditions must be met for this unit:</w:t>
      </w:r>
    </w:p>
    <w:p w:rsidR="00000000" w:rsidRPr="004707D2" w:rsidP="004707D2">
      <w:pPr>
        <w:pStyle w:val="List"/>
      </w:pPr>
      <w:r w:rsidRPr="004707D2">
        <w:t>•</w:t>
      </w:r>
      <w:r w:rsidRPr="004707D2">
        <w:tab/>
        <w:t>use of suitable facilities, equipment and resources including:</w:t>
      </w:r>
    </w:p>
    <w:p w:rsidR="00000000" w:rsidRPr="004707D2" w:rsidP="004707D2">
      <w:pPr>
        <w:pStyle w:val="List2"/>
      </w:pPr>
      <w:r>
        <w:t>•</w:t>
      </w:r>
      <w:r>
        <w:tab/>
      </w:r>
      <w:r w:rsidRPr="004707D2">
        <w:t>dental clinic/laborat</w:t>
      </w:r>
      <w:r w:rsidRPr="004707D2">
        <w:t xml:space="preserve">ory </w:t>
      </w:r>
    </w:p>
    <w:p w:rsidR="00000000" w:rsidRPr="004707D2" w:rsidP="004707D2">
      <w:pPr>
        <w:pStyle w:val="List2"/>
      </w:pPr>
      <w:r>
        <w:t>•</w:t>
      </w:r>
      <w:r>
        <w:tab/>
      </w:r>
      <w:r w:rsidRPr="004707D2">
        <w:t>de-identified dental and medical records and charts for scenarios</w:t>
      </w:r>
    </w:p>
    <w:p w:rsidR="00000000" w:rsidRPr="004707D2" w:rsidP="004707D2">
      <w:pPr>
        <w:pStyle w:val="List2"/>
      </w:pPr>
      <w:r>
        <w:t>•</w:t>
      </w:r>
      <w:r>
        <w:tab/>
      </w:r>
      <w:r w:rsidRPr="004707D2">
        <w:t>personal protective equipment</w:t>
      </w:r>
    </w:p>
    <w:p w:rsidR="00000000" w:rsidRPr="004707D2" w:rsidP="004707D2">
      <w:pPr>
        <w:pStyle w:val="List2"/>
      </w:pPr>
      <w:r>
        <w:t>•</w:t>
      </w:r>
      <w:r>
        <w:tab/>
      </w:r>
      <w:r w:rsidRPr="004707D2">
        <w:t>Dental Board of Australia guidelines on infection control on which the candidate bases the planning process</w:t>
      </w:r>
    </w:p>
    <w:p w:rsidR="00000000" w:rsidRPr="004707D2" w:rsidP="004707D2">
      <w:pPr>
        <w:pStyle w:val="List"/>
      </w:pPr>
      <w:r w:rsidRPr="004707D2">
        <w:t>•</w:t>
      </w:r>
      <w:r w:rsidRPr="004707D2">
        <w:tab/>
        <w:t>modelling of industry operating conditi</w:t>
      </w:r>
      <w:r w:rsidRPr="004707D2">
        <w:t>ons including access to real people for simulations and scenarios of prosthetic procedures.</w:t>
      </w:r>
    </w:p>
    <w:p w:rsidR="00000000" w:rsidRPr="004707D2" w:rsidP="004707D2">
      <w:pPr>
        <w:pStyle w:val="BodyText"/>
      </w:pPr>
    </w:p>
    <w:p w:rsidR="00266B64" w:rsidP="00266B64">
      <w:pPr>
        <w:pStyle w:val="BodyText"/>
      </w:pPr>
      <w:r w:rsidRPr="004707D2">
        <w:t>Assessors must satisfy the Standards for Registered Training Organisations (RTOs) 2015/AQTF mandatory competency requirements for assessors.</w:t>
      </w:r>
    </w:p>
    <w:p w:rsidR="00000000" w:rsidRPr="004707D2" w:rsidP="004707D2">
      <w:pPr>
        <w:pStyle w:val="Heading1"/>
      </w:pPr>
      <w:bookmarkStart w:id="11" w:name="O_819738"/>
      <w:bookmarkEnd w:id="11"/>
      <w:r w:rsidRPr="004707D2">
        <w:t>Links</w:t>
      </w:r>
    </w:p>
    <w:p w:rsidR="00000000" w:rsidRPr="004707D2" w:rsidP="00266B64">
      <w:pPr>
        <w:pStyle w:val="BodyText"/>
      </w:pPr>
      <w:r w:rsidRPr="004707D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C3AD8">
        <w:rPr>
          <w:rStyle w:val="Hyperlink"/>
        </w:rPr>
        <w:t>https://vetnet.gov.au/Pages/TrainingDocs.aspx?q=ced1390f-48d9-4ab0-bd50-b015e5485705</w:t>
      </w:r>
      <w:r>
        <w:fldChar w:fldCharType="end"/>
      </w:r>
    </w:p>
    <w:p w:rsidR="00000000" w:rsidRPr="004707D2" w:rsidP="004707D2"/>
    <w:sectPr w:rsidSect="004707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rsidRPr="00266B64" w:rsidP="00266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64" w:rsidP="00470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6B64" w:rsidP="004707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66B64" w:rsidP="004707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rsidP="004707D2">
    <w:pPr>
      <w:pStyle w:val="Footer"/>
      <w:framePr w:wrap="around"/>
    </w:pPr>
    <w:r>
      <w:fldChar w:fldCharType="begin"/>
    </w:r>
    <w:r>
      <w:instrText xml:space="preserve"> DOCPROPERTY  Subject  \* MERGEFORMAT </w:instrText>
    </w:r>
    <w:r>
      <w:fldChar w:fldCharType="separate"/>
    </w:r>
    <w:r w:rsidR="00266B64">
      <w:t>Approved</w:t>
    </w:r>
    <w:r w:rsidR="00266B64">
      <w:fldChar w:fldCharType="end"/>
    </w:r>
    <w:r>
      <w:tab/>
      <w:t xml:space="preserve">Page </w:t>
    </w:r>
    <w:r>
      <w:fldChar w:fldCharType="begin"/>
    </w:r>
    <w:r>
      <w:instrText xml:space="preserve"> PAGE  \* Arabic  \* MERGEFORMAT </w:instrText>
    </w:r>
    <w:r>
      <w:fldChar w:fldCharType="separate"/>
    </w:r>
    <w:r w:rsidR="00266B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6B64">
      <w:rPr>
        <w:noProof/>
      </w:rPr>
      <w:t>5</w:t>
    </w:r>
    <w:r>
      <w:rPr>
        <w:noProof/>
      </w:rPr>
      <w:fldChar w:fldCharType="end"/>
    </w:r>
  </w:p>
  <w:p w:rsidR="004707D2" w:rsidP="004707D2">
    <w:pPr>
      <w:pStyle w:val="Footer"/>
      <w:framePr w:wrap="around"/>
    </w:pPr>
    <w:r>
      <w:t xml:space="preserve">© Commonwealth of Australia, </w:t>
    </w:r>
    <w:r>
      <w:fldChar w:fldCharType="begin"/>
    </w:r>
    <w:r>
      <w:instrText xml:space="preserve"> DATE  \@ "yyyy"  \* MERGEFORMAT </w:instrText>
    </w:r>
    <w:r>
      <w:fldChar w:fldCharType="separate"/>
    </w:r>
    <w:r w:rsidR="00266B64">
      <w:rPr>
        <w:noProof/>
      </w:rPr>
      <w:t>2025</w:t>
    </w:r>
    <w:r>
      <w:fldChar w:fldCharType="end"/>
    </w:r>
    <w:r>
      <w:tab/>
    </w:r>
    <w:r>
      <w:fldChar w:fldCharType="begin"/>
    </w:r>
    <w:r>
      <w:instrText xml:space="preserve"> DOCPROPERTY  Author  \* MERGEFORMAT </w:instrText>
    </w:r>
    <w:r>
      <w:fldChar w:fldCharType="separate"/>
    </w:r>
    <w:r w:rsidR="00266B64">
      <w:t>HumanAbility</w:t>
    </w:r>
    <w:r w:rsidR="00266B64">
      <w:fldChar w:fldCharType="end"/>
    </w:r>
  </w:p>
  <w:p w:rsidR="004707D2" w:rsidP="00470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7D2" w:rsidRPr="00266B64" w:rsidP="00266B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64" w:rsidRPr="002D2AF8" w:rsidP="004707D2">
    <w:pPr>
      <w:pStyle w:val="Header"/>
      <w:framePr w:wrap="around"/>
    </w:pPr>
    <w:r>
      <w:fldChar w:fldCharType="begin"/>
    </w:r>
    <w:r>
      <w:instrText xml:space="preserve"> TITLE   \* MERGEFORMAT </w:instrText>
    </w:r>
    <w:r>
      <w:fldChar w:fldCharType="separate"/>
    </w:r>
    <w:r>
      <w:t>HLTDEP008 Construct and insert an implant retained overdenture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6B64" w:rsidP="004707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D2" w:rsidRPr="002D2AF8" w:rsidP="004707D2">
    <w:pPr>
      <w:pStyle w:val="Header"/>
      <w:framePr w:wrap="around"/>
    </w:pPr>
    <w:r>
      <w:fldChar w:fldCharType="begin"/>
    </w:r>
    <w:r>
      <w:instrText xml:space="preserve"> TITLE   \* MERGEFORMAT </w:instrText>
    </w:r>
    <w:r>
      <w:fldChar w:fldCharType="separate"/>
    </w:r>
    <w:r w:rsidR="00266B64">
      <w:t>HLTDEP008 Construct and insert an implant retained overdenture</w:t>
    </w:r>
    <w:r w:rsidR="00266B64">
      <w:fldChar w:fldCharType="end"/>
    </w:r>
    <w:r>
      <w:tab/>
      <w:t xml:space="preserve">Date this document was generated: </w:t>
    </w:r>
    <w:r>
      <w:fldChar w:fldCharType="begin"/>
    </w:r>
    <w:r>
      <w:instrText xml:space="preserve"> CREATEDATE  \@ "d MMMM yyyy"  \* MERGEFORMAT </w:instrText>
    </w:r>
    <w:r>
      <w:fldChar w:fldCharType="separate"/>
    </w:r>
    <w:r w:rsidR="00266B64">
      <w:rPr>
        <w:noProof/>
      </w:rPr>
      <w:t>2 March 2025</w:t>
    </w:r>
    <w:r>
      <w:fldChar w:fldCharType="end"/>
    </w:r>
  </w:p>
  <w:p w:rsidR="004707D2" w:rsidP="00470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E3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4B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D23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7D2"/>
    <w:pPr>
      <w:spacing w:before="360" w:after="60"/>
      <w:outlineLvl w:val="0"/>
    </w:pPr>
    <w:rPr>
      <w:sz w:val="32"/>
    </w:rPr>
  </w:style>
  <w:style w:type="paragraph" w:styleId="Heading2">
    <w:name w:val="heading 2"/>
    <w:basedOn w:val="HeadingBase"/>
    <w:next w:val="BodyText"/>
    <w:link w:val="Heading2Char"/>
    <w:qFormat/>
    <w:rsid w:val="004707D2"/>
    <w:pPr>
      <w:keepLines/>
      <w:spacing w:before="240" w:after="120"/>
      <w:outlineLvl w:val="1"/>
    </w:pPr>
    <w:rPr>
      <w:sz w:val="28"/>
      <w:szCs w:val="40"/>
    </w:rPr>
  </w:style>
  <w:style w:type="paragraph" w:styleId="Heading3">
    <w:name w:val="heading 3"/>
    <w:basedOn w:val="HeadingBase"/>
    <w:next w:val="BodyText"/>
    <w:link w:val="Heading3Char"/>
    <w:qFormat/>
    <w:rsid w:val="004707D2"/>
    <w:pPr>
      <w:spacing w:before="180" w:after="120"/>
      <w:outlineLvl w:val="2"/>
    </w:pPr>
    <w:rPr>
      <w:spacing w:val="-10"/>
      <w:kern w:val="32"/>
    </w:rPr>
  </w:style>
  <w:style w:type="paragraph" w:styleId="Heading4">
    <w:name w:val="heading 4"/>
    <w:basedOn w:val="HeadingBase"/>
    <w:next w:val="BodyText"/>
    <w:link w:val="Heading4Char"/>
    <w:qFormat/>
    <w:rsid w:val="004707D2"/>
    <w:pPr>
      <w:spacing w:before="160" w:after="120"/>
      <w:outlineLvl w:val="3"/>
    </w:pPr>
    <w:rPr>
      <w:sz w:val="22"/>
    </w:rPr>
  </w:style>
  <w:style w:type="paragraph" w:styleId="Heading5">
    <w:name w:val="heading 5"/>
    <w:basedOn w:val="HeadingBase"/>
    <w:next w:val="Normal"/>
    <w:link w:val="Heading5Char"/>
    <w:qFormat/>
    <w:rsid w:val="004707D2"/>
    <w:pPr>
      <w:spacing w:before="80"/>
      <w:outlineLvl w:val="4"/>
    </w:pPr>
    <w:rPr>
      <w:color w:val="918585"/>
      <w:sz w:val="20"/>
    </w:rPr>
  </w:style>
  <w:style w:type="paragraph" w:styleId="Heading6">
    <w:name w:val="heading 6"/>
    <w:basedOn w:val="HeadingBase"/>
    <w:next w:val="Normal"/>
    <w:link w:val="Heading6Char"/>
    <w:qFormat/>
    <w:rsid w:val="004707D2"/>
    <w:pPr>
      <w:spacing w:before="60"/>
      <w:outlineLvl w:val="5"/>
    </w:pPr>
    <w:rPr>
      <w:color w:val="918585"/>
      <w:sz w:val="20"/>
    </w:rPr>
  </w:style>
  <w:style w:type="paragraph" w:styleId="Heading7">
    <w:name w:val="heading 7"/>
    <w:basedOn w:val="Normal"/>
    <w:next w:val="Normal"/>
    <w:link w:val="Heading7Char"/>
    <w:qFormat/>
    <w:rsid w:val="004707D2"/>
    <w:pPr>
      <w:ind w:left="720"/>
      <w:outlineLvl w:val="6"/>
    </w:pPr>
    <w:rPr>
      <w:i/>
    </w:rPr>
  </w:style>
  <w:style w:type="paragraph" w:styleId="Heading8">
    <w:name w:val="heading 8"/>
    <w:basedOn w:val="Normal"/>
    <w:next w:val="Normal"/>
    <w:link w:val="Heading8Char"/>
    <w:qFormat/>
    <w:rsid w:val="004707D2"/>
    <w:pPr>
      <w:ind w:left="720"/>
      <w:outlineLvl w:val="7"/>
    </w:pPr>
    <w:rPr>
      <w:i/>
    </w:rPr>
  </w:style>
  <w:style w:type="paragraph" w:styleId="Heading9">
    <w:name w:val="heading 9"/>
    <w:basedOn w:val="Normal"/>
    <w:next w:val="Normal"/>
    <w:link w:val="Heading9Char"/>
    <w:qFormat/>
    <w:rsid w:val="004707D2"/>
    <w:pPr>
      <w:ind w:left="720"/>
      <w:outlineLvl w:val="8"/>
    </w:pPr>
    <w:rPr>
      <w:i/>
    </w:rPr>
  </w:style>
  <w:style w:type="character" w:default="1" w:styleId="DefaultParagraphFont">
    <w:name w:val="Default Paragraph Font"/>
    <w:uiPriority w:val="1"/>
    <w:unhideWhenUsed/>
    <w:rsid w:val="00470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7D2"/>
  </w:style>
  <w:style w:type="character" w:customStyle="1" w:styleId="Heading1Char">
    <w:name w:val="Heading 1 Char"/>
    <w:basedOn w:val="DefaultParagraphFont"/>
    <w:link w:val="Heading1"/>
    <w:rsid w:val="004707D2"/>
    <w:rPr>
      <w:rFonts w:ascii="Times New Roman" w:eastAsia="Times New Roman" w:hAnsi="Times New Roman" w:cs="Times New Roman"/>
      <w:b/>
      <w:sz w:val="32"/>
      <w:szCs w:val="20"/>
      <w:lang w:eastAsia="en-US"/>
    </w:rPr>
  </w:style>
  <w:style w:type="paragraph" w:styleId="BodyText">
    <w:name w:val="Body Text"/>
    <w:basedOn w:val="Normal"/>
    <w:link w:val="BodyTextChar"/>
    <w:rsid w:val="00470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7D2"/>
    <w:rPr>
      <w:rFonts w:ascii="Times New Roman" w:eastAsia="Times New Roman" w:hAnsi="Times New Roman" w:cs="Times New Roman"/>
      <w:sz w:val="24"/>
      <w:lang w:eastAsia="en-US"/>
    </w:rPr>
  </w:style>
  <w:style w:type="paragraph" w:styleId="List">
    <w:name w:val="List"/>
    <w:basedOn w:val="BodyText"/>
    <w:next w:val="BodyText"/>
    <w:rsid w:val="004707D2"/>
    <w:pPr>
      <w:tabs>
        <w:tab w:val="left" w:pos="340"/>
      </w:tabs>
      <w:spacing w:before="60" w:after="60"/>
      <w:ind w:left="340" w:hanging="340"/>
    </w:pPr>
  </w:style>
  <w:style w:type="paragraph" w:styleId="ListBullet">
    <w:name w:val="List Bullet"/>
    <w:basedOn w:val="List"/>
    <w:rsid w:val="004707D2"/>
    <w:pPr>
      <w:numPr>
        <w:numId w:val="12"/>
      </w:numPr>
      <w:tabs>
        <w:tab w:val="clear" w:pos="340"/>
      </w:tabs>
      <w:spacing w:before="40" w:after="40"/>
    </w:pPr>
  </w:style>
  <w:style w:type="character" w:customStyle="1" w:styleId="SpecialBold">
    <w:name w:val="Special Bold"/>
    <w:basedOn w:val="DefaultParagraphFont"/>
    <w:rsid w:val="004707D2"/>
    <w:rPr>
      <w:b/>
      <w:spacing w:val="0"/>
    </w:rPr>
  </w:style>
  <w:style w:type="paragraph" w:styleId="ListBullet2">
    <w:name w:val="List Bullet 2"/>
    <w:basedOn w:val="List2"/>
    <w:rsid w:val="004707D2"/>
    <w:pPr>
      <w:numPr>
        <w:numId w:val="13"/>
      </w:numPr>
      <w:tabs>
        <w:tab w:val="clear" w:pos="680"/>
      </w:tabs>
    </w:pPr>
  </w:style>
  <w:style w:type="character" w:styleId="Emphasis">
    <w:name w:val="Emphasis"/>
    <w:basedOn w:val="DefaultParagraphFont"/>
    <w:qFormat/>
    <w:rsid w:val="004707D2"/>
    <w:rPr>
      <w:i/>
    </w:rPr>
  </w:style>
  <w:style w:type="paragraph" w:customStyle="1" w:styleId="SuperHeading">
    <w:name w:val="SuperHeading"/>
    <w:basedOn w:val="Normal"/>
    <w:rsid w:val="004707D2"/>
    <w:pPr>
      <w:spacing w:before="240" w:after="120"/>
      <w:outlineLvl w:val="0"/>
    </w:pPr>
    <w:rPr>
      <w:rFonts w:ascii="Times New Roman" w:hAnsi="Times New Roman"/>
      <w:b/>
      <w:sz w:val="32"/>
    </w:rPr>
  </w:style>
  <w:style w:type="paragraph" w:customStyle="1" w:styleId="AllowPageBreak">
    <w:name w:val="AllowPageBreak"/>
    <w:rsid w:val="004707D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707D2"/>
    <w:pPr>
      <w:ind w:firstLine="0"/>
    </w:pPr>
  </w:style>
  <w:style w:type="paragraph" w:styleId="List2">
    <w:name w:val="List 2"/>
    <w:basedOn w:val="BodyText"/>
    <w:rsid w:val="004707D2"/>
    <w:pPr>
      <w:tabs>
        <w:tab w:val="left" w:pos="680"/>
      </w:tabs>
      <w:spacing w:before="60" w:after="60"/>
      <w:ind w:left="680" w:hanging="340"/>
    </w:pPr>
  </w:style>
  <w:style w:type="character" w:customStyle="1" w:styleId="Heading2Char">
    <w:name w:val="Heading 2 Char"/>
    <w:basedOn w:val="DefaultParagraphFont"/>
    <w:link w:val="Heading2"/>
    <w:rsid w:val="00470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7D2"/>
    <w:rPr>
      <w:rFonts w:ascii="Courier New" w:eastAsia="Times New Roman" w:hAnsi="Courier New" w:cs="Times New Roman"/>
      <w:i/>
      <w:szCs w:val="20"/>
      <w:lang w:eastAsia="en-US"/>
    </w:rPr>
  </w:style>
  <w:style w:type="paragraph" w:customStyle="1" w:styleId="HeadingBase">
    <w:name w:val="Heading Base"/>
    <w:rsid w:val="00470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7D2"/>
    <w:pPr>
      <w:tabs>
        <w:tab w:val="right" w:leader="dot" w:pos="9072"/>
      </w:tabs>
      <w:ind w:left="567"/>
    </w:pPr>
    <w:rPr>
      <w:szCs w:val="22"/>
    </w:rPr>
  </w:style>
  <w:style w:type="paragraph" w:customStyle="1" w:styleId="TOCBase">
    <w:name w:val="TOC Base"/>
    <w:rsid w:val="00470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7D2"/>
    <w:pPr>
      <w:tabs>
        <w:tab w:val="right" w:leader="dot" w:pos="9072"/>
      </w:tabs>
      <w:spacing w:before="40" w:after="40"/>
      <w:ind w:left="284"/>
    </w:pPr>
    <w:rPr>
      <w:rFonts w:ascii="Times New Roman" w:hAnsi="Times New Roman"/>
    </w:rPr>
  </w:style>
  <w:style w:type="paragraph" w:styleId="TOC1">
    <w:name w:val="toc 1"/>
    <w:basedOn w:val="TOCBase"/>
    <w:next w:val="Normal"/>
    <w:rsid w:val="00470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7D2"/>
    <w:rPr>
      <w:rFonts w:ascii="Times New Roman" w:eastAsia="Times New Roman" w:hAnsi="Times New Roman" w:cs="Times New Roman"/>
      <w:sz w:val="16"/>
      <w:lang w:eastAsia="en-US"/>
    </w:rPr>
  </w:style>
  <w:style w:type="paragraph" w:styleId="Title">
    <w:name w:val="Title"/>
    <w:basedOn w:val="HeadingBase"/>
    <w:link w:val="TitleChar"/>
    <w:qFormat/>
    <w:rsid w:val="004707D2"/>
    <w:pPr>
      <w:spacing w:before="5040"/>
      <w:jc w:val="center"/>
    </w:pPr>
    <w:rPr>
      <w:sz w:val="48"/>
      <w:szCs w:val="72"/>
      <w:lang w:val="en-US"/>
    </w:rPr>
  </w:style>
  <w:style w:type="character" w:customStyle="1" w:styleId="TitleChar">
    <w:name w:val="Title Char"/>
    <w:basedOn w:val="DefaultParagraphFont"/>
    <w:link w:val="Title"/>
    <w:rsid w:val="00470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7D2"/>
    <w:pPr>
      <w:tabs>
        <w:tab w:val="left" w:pos="3600"/>
        <w:tab w:val="left" w:pos="3958"/>
      </w:tabs>
    </w:pPr>
  </w:style>
  <w:style w:type="paragraph" w:customStyle="1" w:styleId="Note">
    <w:name w:val="Note"/>
    <w:basedOn w:val="BodyText"/>
    <w:rsid w:val="00470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7D2"/>
    <w:pPr>
      <w:framePr w:wrap="auto" w:hAnchor="text" w:y="6049"/>
    </w:pPr>
    <w:rPr>
      <w:color w:val="000000"/>
      <w:sz w:val="40"/>
    </w:rPr>
  </w:style>
  <w:style w:type="paragraph" w:customStyle="1" w:styleId="TOCTitle">
    <w:name w:val="TOCTitle"/>
    <w:basedOn w:val="Heading1"/>
    <w:rsid w:val="004707D2"/>
    <w:pPr>
      <w:spacing w:after="240"/>
      <w:jc w:val="center"/>
      <w:outlineLvl w:val="9"/>
    </w:pPr>
    <w:rPr>
      <w:caps/>
    </w:rPr>
  </w:style>
  <w:style w:type="paragraph" w:customStyle="1" w:styleId="Version">
    <w:name w:val="Version"/>
    <w:rsid w:val="00470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7D2"/>
    <w:pPr>
      <w:keepNext w:val="0"/>
      <w:tabs>
        <w:tab w:val="right" w:pos="4176"/>
      </w:tabs>
      <w:ind w:left="198" w:hanging="198"/>
    </w:pPr>
    <w:rPr>
      <w:rFonts w:ascii="Garamond" w:hAnsi="Garamond"/>
    </w:rPr>
  </w:style>
  <w:style w:type="paragraph" w:styleId="IndexHeading">
    <w:name w:val="index heading"/>
    <w:basedOn w:val="Normal"/>
    <w:next w:val="Index1"/>
    <w:semiHidden/>
    <w:rsid w:val="004707D2"/>
    <w:pPr>
      <w:spacing w:before="120" w:after="120"/>
    </w:pPr>
    <w:rPr>
      <w:rFonts w:ascii="Arial" w:hAnsi="Arial"/>
      <w:b/>
      <w:color w:val="918585"/>
      <w:sz w:val="24"/>
    </w:rPr>
  </w:style>
  <w:style w:type="paragraph" w:styleId="Header">
    <w:name w:val="header"/>
    <w:basedOn w:val="Normal"/>
    <w:link w:val="HeaderChar"/>
    <w:rsid w:val="00470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7D2"/>
    <w:rPr>
      <w:rFonts w:ascii="Times New Roman" w:eastAsia="Times New Roman" w:hAnsi="Times New Roman" w:cs="Times New Roman"/>
      <w:sz w:val="16"/>
      <w:szCs w:val="20"/>
      <w:lang w:val="en-GB" w:eastAsia="en-US"/>
    </w:rPr>
  </w:style>
  <w:style w:type="paragraph" w:customStyle="1" w:styleId="Chapter">
    <w:name w:val="Chapter"/>
    <w:basedOn w:val="Normal"/>
    <w:rsid w:val="004707D2"/>
    <w:pPr>
      <w:spacing w:before="240"/>
    </w:pPr>
    <w:rPr>
      <w:rFonts w:ascii="Times New Roman" w:hAnsi="Times New Roman"/>
      <w:smallCaps/>
      <w:spacing w:val="80"/>
      <w:sz w:val="28"/>
    </w:rPr>
  </w:style>
  <w:style w:type="paragraph" w:customStyle="1" w:styleId="InChapter">
    <w:name w:val="InChapter"/>
    <w:basedOn w:val="Heading3"/>
    <w:rsid w:val="004707D2"/>
    <w:pPr>
      <w:spacing w:after="240"/>
      <w:outlineLvl w:val="9"/>
    </w:pPr>
    <w:rPr>
      <w:noProof/>
    </w:rPr>
  </w:style>
  <w:style w:type="paragraph" w:styleId="Index2">
    <w:name w:val="index 2"/>
    <w:basedOn w:val="Normal"/>
    <w:next w:val="Normal"/>
    <w:semiHidden/>
    <w:rsid w:val="004707D2"/>
    <w:pPr>
      <w:tabs>
        <w:tab w:val="right" w:pos="4176"/>
      </w:tabs>
      <w:ind w:left="568" w:hanging="284"/>
    </w:pPr>
    <w:rPr>
      <w:rFonts w:ascii="Garamond" w:hAnsi="Garamond"/>
    </w:rPr>
  </w:style>
  <w:style w:type="paragraph" w:customStyle="1" w:styleId="Byline">
    <w:name w:val="Byline"/>
    <w:rsid w:val="00470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7D2"/>
    <w:pPr>
      <w:tabs>
        <w:tab w:val="clear" w:pos="3600"/>
        <w:tab w:val="clear" w:pos="3958"/>
      </w:tabs>
      <w:jc w:val="right"/>
    </w:pPr>
  </w:style>
  <w:style w:type="paragraph" w:styleId="Caption">
    <w:name w:val="caption"/>
    <w:basedOn w:val="BodyText"/>
    <w:next w:val="Normal"/>
    <w:qFormat/>
    <w:rsid w:val="004707D2"/>
    <w:pPr>
      <w:framePr w:w="2268" w:hSpace="181" w:vSpace="181" w:wrap="around" w:vAnchor="text" w:hAnchor="page" w:x="1135" w:y="285" w:anchorLock="1"/>
    </w:pPr>
    <w:rPr>
      <w:i/>
    </w:rPr>
  </w:style>
  <w:style w:type="paragraph" w:customStyle="1" w:styleId="MiniTOCTitle">
    <w:name w:val="MiniTOCTitle"/>
    <w:basedOn w:val="Heading4"/>
    <w:rsid w:val="004707D2"/>
    <w:pPr>
      <w:spacing w:before="240"/>
      <w:outlineLvl w:val="9"/>
    </w:pPr>
    <w:rPr>
      <w:noProof/>
      <w:sz w:val="24"/>
    </w:rPr>
  </w:style>
  <w:style w:type="paragraph" w:customStyle="1" w:styleId="MiniTOCItem">
    <w:name w:val="MiniTOCItem"/>
    <w:basedOn w:val="ListBullet"/>
    <w:rsid w:val="004707D2"/>
    <w:pPr>
      <w:numPr>
        <w:numId w:val="0"/>
      </w:numPr>
      <w:tabs>
        <w:tab w:val="right" w:leader="dot" w:pos="6521"/>
      </w:tabs>
      <w:spacing w:before="0" w:after="0"/>
    </w:pPr>
  </w:style>
  <w:style w:type="paragraph" w:customStyle="1" w:styleId="TOFTitle">
    <w:name w:val="TOFTitle"/>
    <w:basedOn w:val="TOCTitle"/>
    <w:rsid w:val="004707D2"/>
  </w:style>
  <w:style w:type="paragraph" w:styleId="TableofFigures">
    <w:name w:val="table of figures"/>
    <w:basedOn w:val="Normal"/>
    <w:next w:val="Normal"/>
    <w:semiHidden/>
    <w:rsid w:val="004707D2"/>
    <w:pPr>
      <w:tabs>
        <w:tab w:val="right" w:leader="dot" w:pos="9072"/>
      </w:tabs>
      <w:ind w:left="970" w:hanging="403"/>
    </w:pPr>
    <w:rPr>
      <w:rFonts w:ascii="Times New Roman" w:hAnsi="Times New Roman"/>
      <w:b/>
    </w:rPr>
  </w:style>
  <w:style w:type="paragraph" w:styleId="ListNumber">
    <w:name w:val="List Number"/>
    <w:basedOn w:val="List"/>
    <w:rsid w:val="004707D2"/>
    <w:pPr>
      <w:numPr>
        <w:numId w:val="15"/>
      </w:numPr>
      <w:tabs>
        <w:tab w:val="clear" w:pos="340"/>
      </w:tabs>
    </w:pPr>
  </w:style>
  <w:style w:type="character" w:customStyle="1" w:styleId="WingdingSymbols">
    <w:name w:val="Wingding Symbols"/>
    <w:rsid w:val="004707D2"/>
    <w:rPr>
      <w:rFonts w:ascii="Wingdings" w:hAnsi="Wingdings"/>
    </w:rPr>
  </w:style>
  <w:style w:type="paragraph" w:customStyle="1" w:styleId="TableHeading">
    <w:name w:val="Table Heading"/>
    <w:basedOn w:val="HeadingBase"/>
    <w:rsid w:val="004707D2"/>
    <w:pPr>
      <w:keepLines/>
      <w:pBdr>
        <w:bottom w:val="single" w:sz="6" w:space="1" w:color="918585"/>
      </w:pBdr>
      <w:spacing w:before="240"/>
    </w:pPr>
  </w:style>
  <w:style w:type="character" w:customStyle="1" w:styleId="HotSpot">
    <w:name w:val="HotSpot"/>
    <w:rsid w:val="004707D2"/>
    <w:rPr>
      <w:color w:val="0033CC"/>
      <w:u w:val="none"/>
    </w:rPr>
  </w:style>
  <w:style w:type="paragraph" w:customStyle="1" w:styleId="BodyTextRight">
    <w:name w:val="Body Text Right"/>
    <w:basedOn w:val="BodyText"/>
    <w:rsid w:val="004707D2"/>
    <w:pPr>
      <w:spacing w:before="0" w:after="0"/>
      <w:jc w:val="right"/>
    </w:pPr>
  </w:style>
  <w:style w:type="paragraph" w:styleId="Index3">
    <w:name w:val="index 3"/>
    <w:basedOn w:val="ListNumber2"/>
    <w:next w:val="Normal"/>
    <w:semiHidden/>
    <w:rsid w:val="004707D2"/>
    <w:pPr>
      <w:numPr>
        <w:numId w:val="0"/>
      </w:numPr>
      <w:tabs>
        <w:tab w:val="right" w:leader="dot" w:pos="4176"/>
      </w:tabs>
    </w:pPr>
  </w:style>
  <w:style w:type="paragraph" w:styleId="ListNumber2">
    <w:name w:val="List Number 2"/>
    <w:basedOn w:val="List2"/>
    <w:rsid w:val="004707D2"/>
    <w:pPr>
      <w:numPr>
        <w:numId w:val="10"/>
      </w:numPr>
      <w:tabs>
        <w:tab w:val="clear" w:pos="1060"/>
      </w:tabs>
    </w:pPr>
  </w:style>
  <w:style w:type="paragraph" w:customStyle="1" w:styleId="MarginNote">
    <w:name w:val="Margin Note"/>
    <w:basedOn w:val="BodyText"/>
    <w:rsid w:val="00470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7D2"/>
    <w:rPr>
      <w:sz w:val="32"/>
    </w:rPr>
  </w:style>
  <w:style w:type="paragraph" w:customStyle="1" w:styleId="HeadingProcedure">
    <w:name w:val="Heading Procedure"/>
    <w:basedOn w:val="HeadingBase"/>
    <w:next w:val="Normal"/>
    <w:rsid w:val="004707D2"/>
    <w:pPr>
      <w:tabs>
        <w:tab w:val="left" w:pos="0"/>
      </w:tabs>
      <w:spacing w:before="120" w:after="60"/>
    </w:pPr>
    <w:rPr>
      <w:i/>
      <w:color w:val="918585"/>
      <w:sz w:val="22"/>
    </w:rPr>
  </w:style>
  <w:style w:type="paragraph" w:customStyle="1" w:styleId="TableBodyText">
    <w:name w:val="Table Body Text"/>
    <w:basedOn w:val="BodyText"/>
    <w:rsid w:val="004707D2"/>
    <w:pPr>
      <w:spacing w:before="60" w:after="60"/>
    </w:pPr>
  </w:style>
  <w:style w:type="paragraph" w:customStyle="1" w:styleId="ListNote">
    <w:name w:val="List Note"/>
    <w:basedOn w:val="List"/>
    <w:rsid w:val="004707D2"/>
    <w:pPr>
      <w:pBdr>
        <w:top w:val="single" w:sz="6" w:space="2" w:color="918585"/>
        <w:bottom w:val="single" w:sz="6" w:space="2" w:color="918585"/>
      </w:pBdr>
      <w:tabs>
        <w:tab w:val="left" w:pos="1021"/>
      </w:tabs>
      <w:ind w:firstLine="0"/>
    </w:pPr>
  </w:style>
  <w:style w:type="paragraph" w:customStyle="1" w:styleId="Warning">
    <w:name w:val="Warning"/>
    <w:basedOn w:val="BodyText"/>
    <w:rsid w:val="004707D2"/>
    <w:pPr>
      <w:shd w:val="clear" w:color="auto" w:fill="D9D9D9"/>
      <w:tabs>
        <w:tab w:val="left" w:pos="992"/>
      </w:tabs>
      <w:ind w:left="119" w:right="119"/>
    </w:pPr>
    <w:rPr>
      <w:sz w:val="20"/>
    </w:rPr>
  </w:style>
  <w:style w:type="paragraph" w:customStyle="1" w:styleId="MarginIcons">
    <w:name w:val="Margin Icons"/>
    <w:basedOn w:val="BodyText"/>
    <w:rsid w:val="00470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7D2"/>
    <w:rPr>
      <w:rFonts w:ascii="Courier New" w:hAnsi="Courier New"/>
    </w:rPr>
  </w:style>
  <w:style w:type="paragraph" w:customStyle="1" w:styleId="NoteBullet">
    <w:name w:val="Note Bullet"/>
    <w:basedOn w:val="Note"/>
    <w:rsid w:val="004707D2"/>
    <w:pPr>
      <w:tabs>
        <w:tab w:val="clear" w:pos="680"/>
      </w:tabs>
      <w:spacing w:before="60" w:after="60"/>
    </w:pPr>
  </w:style>
  <w:style w:type="paragraph" w:customStyle="1" w:styleId="SubHeading2">
    <w:name w:val="SubHeading2"/>
    <w:basedOn w:val="HeadingBase"/>
    <w:rsid w:val="004707D2"/>
    <w:pPr>
      <w:spacing w:before="240" w:after="60"/>
    </w:pPr>
    <w:rPr>
      <w:sz w:val="20"/>
    </w:rPr>
  </w:style>
  <w:style w:type="paragraph" w:customStyle="1" w:styleId="SubHeading1">
    <w:name w:val="SubHeading1"/>
    <w:basedOn w:val="HeadingBase"/>
    <w:rsid w:val="004707D2"/>
    <w:pPr>
      <w:spacing w:before="240" w:after="60"/>
    </w:pPr>
    <w:rPr>
      <w:color w:val="918585"/>
      <w:sz w:val="22"/>
    </w:rPr>
  </w:style>
  <w:style w:type="paragraph" w:customStyle="1" w:styleId="SideHeading">
    <w:name w:val="Side Heading"/>
    <w:basedOn w:val="HeadingBase"/>
    <w:rsid w:val="00470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7D2"/>
    <w:pPr>
      <w:tabs>
        <w:tab w:val="num" w:pos="360"/>
      </w:tabs>
    </w:pPr>
  </w:style>
  <w:style w:type="paragraph" w:styleId="PlainText">
    <w:name w:val="Plain Text"/>
    <w:basedOn w:val="Normal"/>
    <w:link w:val="PlainTextChar"/>
    <w:rsid w:val="004707D2"/>
    <w:rPr>
      <w:sz w:val="20"/>
    </w:rPr>
  </w:style>
  <w:style w:type="character" w:customStyle="1" w:styleId="PlainTextChar">
    <w:name w:val="Plain Text Char"/>
    <w:basedOn w:val="DefaultParagraphFont"/>
    <w:link w:val="PlainText"/>
    <w:rsid w:val="004707D2"/>
    <w:rPr>
      <w:rFonts w:ascii="Courier New" w:eastAsia="Times New Roman" w:hAnsi="Courier New" w:cs="Times New Roman"/>
      <w:sz w:val="20"/>
      <w:szCs w:val="20"/>
      <w:lang w:eastAsia="en-US"/>
    </w:rPr>
  </w:style>
  <w:style w:type="character" w:customStyle="1" w:styleId="MenuOption">
    <w:name w:val="Menu Option"/>
    <w:basedOn w:val="DefaultParagraphFont"/>
    <w:rsid w:val="004707D2"/>
    <w:rPr>
      <w:b/>
      <w:smallCaps/>
    </w:rPr>
  </w:style>
  <w:style w:type="paragraph" w:customStyle="1" w:styleId="TableListNumber">
    <w:name w:val="Table List Number"/>
    <w:basedOn w:val="ListNumber"/>
    <w:rsid w:val="004707D2"/>
    <w:pPr>
      <w:numPr>
        <w:numId w:val="0"/>
      </w:numPr>
    </w:pPr>
  </w:style>
  <w:style w:type="paragraph" w:styleId="TOC4">
    <w:name w:val="toc 4"/>
    <w:basedOn w:val="TOCBase"/>
    <w:next w:val="Normal"/>
    <w:semiHidden/>
    <w:rsid w:val="004707D2"/>
    <w:pPr>
      <w:tabs>
        <w:tab w:val="right" w:leader="dot" w:pos="9071"/>
      </w:tabs>
      <w:ind w:left="1701"/>
    </w:pPr>
  </w:style>
  <w:style w:type="paragraph" w:customStyle="1" w:styleId="ListAlpha">
    <w:name w:val="List Alpha"/>
    <w:basedOn w:val="List"/>
    <w:rsid w:val="004707D2"/>
    <w:pPr>
      <w:numPr>
        <w:numId w:val="9"/>
      </w:numPr>
    </w:pPr>
  </w:style>
  <w:style w:type="paragraph" w:customStyle="1" w:styleId="ListAlpha2">
    <w:name w:val="List Alpha 2"/>
    <w:basedOn w:val="List2"/>
    <w:rsid w:val="004707D2"/>
    <w:pPr>
      <w:numPr>
        <w:numId w:val="8"/>
      </w:numPr>
    </w:pPr>
  </w:style>
  <w:style w:type="paragraph" w:styleId="List3">
    <w:name w:val="List 3"/>
    <w:basedOn w:val="BodyText"/>
    <w:rsid w:val="004707D2"/>
    <w:pPr>
      <w:tabs>
        <w:tab w:val="left" w:pos="1021"/>
      </w:tabs>
      <w:spacing w:before="60" w:after="60"/>
      <w:ind w:left="1020" w:hanging="340"/>
    </w:pPr>
  </w:style>
  <w:style w:type="paragraph" w:styleId="List4">
    <w:name w:val="List 4"/>
    <w:basedOn w:val="BodyText"/>
    <w:rsid w:val="004707D2"/>
    <w:pPr>
      <w:tabs>
        <w:tab w:val="left" w:pos="1361"/>
      </w:tabs>
      <w:spacing w:before="60" w:after="60"/>
      <w:ind w:left="1361" w:hanging="340"/>
    </w:pPr>
  </w:style>
  <w:style w:type="paragraph" w:styleId="List5">
    <w:name w:val="List 5"/>
    <w:basedOn w:val="BodyText"/>
    <w:rsid w:val="004707D2"/>
    <w:pPr>
      <w:tabs>
        <w:tab w:val="left" w:pos="1701"/>
      </w:tabs>
      <w:spacing w:before="60" w:after="60"/>
      <w:ind w:left="1701" w:hanging="340"/>
    </w:pPr>
  </w:style>
  <w:style w:type="paragraph" w:styleId="ListBullet3">
    <w:name w:val="List Bullet 3"/>
    <w:basedOn w:val="List3"/>
    <w:rsid w:val="004707D2"/>
    <w:pPr>
      <w:numPr>
        <w:numId w:val="14"/>
      </w:numPr>
      <w:tabs>
        <w:tab w:val="clear" w:pos="1021"/>
      </w:tabs>
      <w:ind w:left="1037" w:hanging="357"/>
    </w:pPr>
  </w:style>
  <w:style w:type="paragraph" w:styleId="ListBullet4">
    <w:name w:val="List Bullet 4"/>
    <w:basedOn w:val="List4"/>
    <w:rsid w:val="004707D2"/>
    <w:pPr>
      <w:numPr>
        <w:numId w:val="3"/>
      </w:numPr>
      <w:tabs>
        <w:tab w:val="clear" w:pos="1361"/>
      </w:tabs>
    </w:pPr>
  </w:style>
  <w:style w:type="paragraph" w:styleId="ListBullet5">
    <w:name w:val="List Bullet 5"/>
    <w:basedOn w:val="List5"/>
    <w:rsid w:val="004707D2"/>
    <w:pPr>
      <w:numPr>
        <w:numId w:val="4"/>
      </w:numPr>
    </w:pPr>
  </w:style>
  <w:style w:type="paragraph" w:styleId="ListContinue2">
    <w:name w:val="List Continue 2"/>
    <w:basedOn w:val="List2"/>
    <w:rsid w:val="004707D2"/>
    <w:pPr>
      <w:ind w:firstLine="0"/>
    </w:pPr>
  </w:style>
  <w:style w:type="paragraph" w:styleId="ListContinue3">
    <w:name w:val="List Continue 3"/>
    <w:basedOn w:val="List3"/>
    <w:rsid w:val="004707D2"/>
    <w:pPr>
      <w:ind w:left="1021" w:firstLine="0"/>
    </w:pPr>
  </w:style>
  <w:style w:type="paragraph" w:styleId="ListContinue4">
    <w:name w:val="List Continue 4"/>
    <w:basedOn w:val="List4"/>
    <w:rsid w:val="004707D2"/>
    <w:pPr>
      <w:ind w:firstLine="0"/>
    </w:pPr>
  </w:style>
  <w:style w:type="paragraph" w:styleId="ListContinue5">
    <w:name w:val="List Continue 5"/>
    <w:basedOn w:val="List5"/>
    <w:rsid w:val="004707D2"/>
    <w:pPr>
      <w:ind w:firstLine="0"/>
    </w:pPr>
  </w:style>
  <w:style w:type="paragraph" w:styleId="ListNumber3">
    <w:name w:val="List Number 3"/>
    <w:basedOn w:val="List3"/>
    <w:rsid w:val="004707D2"/>
    <w:pPr>
      <w:numPr>
        <w:numId w:val="5"/>
      </w:numPr>
    </w:pPr>
  </w:style>
  <w:style w:type="paragraph" w:styleId="ListNumber4">
    <w:name w:val="List Number 4"/>
    <w:basedOn w:val="List4"/>
    <w:rsid w:val="004707D2"/>
    <w:pPr>
      <w:numPr>
        <w:numId w:val="6"/>
      </w:numPr>
    </w:pPr>
  </w:style>
  <w:style w:type="paragraph" w:styleId="ListNumber5">
    <w:name w:val="List Number 5"/>
    <w:basedOn w:val="List5"/>
    <w:rsid w:val="004707D2"/>
    <w:pPr>
      <w:numPr>
        <w:numId w:val="7"/>
      </w:numPr>
    </w:pPr>
  </w:style>
  <w:style w:type="paragraph" w:styleId="BlockText">
    <w:name w:val="Block Text"/>
    <w:basedOn w:val="Normal"/>
    <w:rsid w:val="004707D2"/>
    <w:pPr>
      <w:spacing w:after="120"/>
      <w:ind w:left="1440" w:right="1440"/>
    </w:pPr>
  </w:style>
  <w:style w:type="character" w:customStyle="1" w:styleId="Subscript">
    <w:name w:val="Subscript"/>
    <w:basedOn w:val="DefaultParagraphFont"/>
    <w:rsid w:val="004707D2"/>
    <w:rPr>
      <w:sz w:val="16"/>
      <w:vertAlign w:val="subscript"/>
    </w:rPr>
  </w:style>
  <w:style w:type="character" w:customStyle="1" w:styleId="Superscript">
    <w:name w:val="Superscript"/>
    <w:basedOn w:val="DefaultParagraphFont"/>
    <w:rsid w:val="004707D2"/>
    <w:rPr>
      <w:sz w:val="16"/>
      <w:vertAlign w:val="superscript"/>
    </w:rPr>
  </w:style>
  <w:style w:type="character" w:customStyle="1" w:styleId="Symbols">
    <w:name w:val="Symbols"/>
    <w:basedOn w:val="DefaultParagraphFont"/>
    <w:rsid w:val="004707D2"/>
    <w:rPr>
      <w:rFonts w:ascii="Symbol" w:hAnsi="Symbol"/>
    </w:rPr>
  </w:style>
  <w:style w:type="character" w:customStyle="1" w:styleId="MenuOptions">
    <w:name w:val="Menu Options"/>
    <w:basedOn w:val="DefaultParagraphFont"/>
    <w:rsid w:val="004707D2"/>
    <w:rPr>
      <w:rFonts w:ascii="Arial Narrow" w:hAnsi="Arial Narrow"/>
      <w:smallCaps/>
    </w:rPr>
  </w:style>
  <w:style w:type="character" w:customStyle="1" w:styleId="Buttons">
    <w:name w:val="Buttons"/>
    <w:basedOn w:val="DefaultParagraphFont"/>
    <w:rsid w:val="004707D2"/>
    <w:rPr>
      <w:b/>
    </w:rPr>
  </w:style>
  <w:style w:type="character" w:customStyle="1" w:styleId="Underlined">
    <w:name w:val="Underlined"/>
    <w:basedOn w:val="DefaultParagraphFont"/>
    <w:rsid w:val="004707D2"/>
    <w:rPr>
      <w:u w:val="single"/>
    </w:rPr>
  </w:style>
  <w:style w:type="paragraph" w:customStyle="1" w:styleId="TableBodyTextRight">
    <w:name w:val="Table Body Text Right"/>
    <w:basedOn w:val="TableBodyText"/>
    <w:rsid w:val="004707D2"/>
    <w:pPr>
      <w:widowControl w:val="0"/>
      <w:autoSpaceDE w:val="0"/>
      <w:autoSpaceDN w:val="0"/>
      <w:adjustRightInd w:val="0"/>
      <w:jc w:val="right"/>
    </w:pPr>
    <w:rPr>
      <w:rFonts w:cs="Arial"/>
      <w:szCs w:val="18"/>
    </w:rPr>
  </w:style>
  <w:style w:type="paragraph" w:customStyle="1" w:styleId="CopyrightText">
    <w:name w:val="Copyright Text"/>
    <w:basedOn w:val="BodyText"/>
    <w:rsid w:val="004707D2"/>
    <w:rPr>
      <w:sz w:val="18"/>
    </w:rPr>
  </w:style>
  <w:style w:type="paragraph" w:customStyle="1" w:styleId="BodySmallRight">
    <w:name w:val="Body Small Right"/>
    <w:basedOn w:val="BodyTextRight"/>
    <w:rsid w:val="004707D2"/>
    <w:rPr>
      <w:sz w:val="18"/>
      <w:szCs w:val="18"/>
    </w:rPr>
  </w:style>
  <w:style w:type="paragraph" w:customStyle="1" w:styleId="MarginEdition">
    <w:name w:val="Margin Edition"/>
    <w:basedOn w:val="MarginNote"/>
    <w:rsid w:val="004707D2"/>
    <w:pPr>
      <w:spacing w:before="0" w:after="0"/>
    </w:pPr>
    <w:rPr>
      <w:rFonts w:ascii="Times New Roman" w:hAnsi="Times New Roman"/>
      <w:color w:val="999999"/>
    </w:rPr>
  </w:style>
  <w:style w:type="paragraph" w:customStyle="1" w:styleId="Spacer">
    <w:name w:val="Spacer"/>
    <w:basedOn w:val="Normal"/>
    <w:rsid w:val="004707D2"/>
    <w:rPr>
      <w:sz w:val="2"/>
      <w:szCs w:val="2"/>
    </w:rPr>
  </w:style>
  <w:style w:type="character" w:customStyle="1" w:styleId="Small">
    <w:name w:val="Small"/>
    <w:basedOn w:val="DefaultParagraphFont"/>
    <w:rsid w:val="004707D2"/>
    <w:rPr>
      <w:sz w:val="16"/>
    </w:rPr>
  </w:style>
  <w:style w:type="paragraph" w:customStyle="1" w:styleId="WideTable">
    <w:name w:val="Wide Table"/>
    <w:basedOn w:val="Normal"/>
    <w:rsid w:val="004707D2"/>
    <w:pPr>
      <w:ind w:left="-1418"/>
    </w:pPr>
    <w:rPr>
      <w:sz w:val="2"/>
      <w:szCs w:val="2"/>
    </w:rPr>
  </w:style>
  <w:style w:type="character" w:styleId="PageNumber">
    <w:name w:val="page number"/>
    <w:basedOn w:val="DefaultParagraphFont"/>
    <w:rsid w:val="004707D2"/>
  </w:style>
  <w:style w:type="paragraph" w:styleId="Quote">
    <w:name w:val="Quote"/>
    <w:basedOn w:val="Heading1"/>
    <w:link w:val="QuoteChar"/>
    <w:qFormat/>
    <w:rsid w:val="004707D2"/>
    <w:rPr>
      <w:b w:val="0"/>
      <w:sz w:val="72"/>
      <w:szCs w:val="72"/>
      <w:lang w:val="en-NZ"/>
    </w:rPr>
  </w:style>
  <w:style w:type="character" w:customStyle="1" w:styleId="QuoteChar">
    <w:name w:val="Quote Char"/>
    <w:basedOn w:val="DefaultParagraphFont"/>
    <w:link w:val="Quote"/>
    <w:rsid w:val="00470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7D2"/>
    <w:pPr>
      <w:pageBreakBefore/>
    </w:pPr>
  </w:style>
  <w:style w:type="paragraph" w:customStyle="1" w:styleId="Border">
    <w:name w:val="Border"/>
    <w:basedOn w:val="Normal"/>
    <w:qFormat/>
    <w:rsid w:val="00470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7D2"/>
    <w:rPr>
      <w:b/>
      <w:bCs/>
      <w:i/>
      <w:iCs/>
      <w:color w:val="auto"/>
    </w:rPr>
  </w:style>
  <w:style w:type="paragraph" w:styleId="IntenseQuote">
    <w:name w:val="Intense Quote"/>
    <w:basedOn w:val="Normal"/>
    <w:next w:val="Normal"/>
    <w:link w:val="IntenseQuoteChar"/>
    <w:uiPriority w:val="30"/>
    <w:qFormat/>
    <w:rsid w:val="00470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7D2"/>
    <w:rPr>
      <w:smallCaps/>
      <w:color w:val="auto"/>
      <w:u w:val="single"/>
    </w:rPr>
  </w:style>
  <w:style w:type="character" w:styleId="IntenseReference">
    <w:name w:val="Intense Reference"/>
    <w:basedOn w:val="DefaultParagraphFont"/>
    <w:uiPriority w:val="32"/>
    <w:qFormat/>
    <w:rsid w:val="004707D2"/>
    <w:rPr>
      <w:b/>
      <w:bCs/>
      <w:smallCaps/>
      <w:color w:val="auto"/>
      <w:spacing w:val="5"/>
      <w:u w:val="single"/>
    </w:rPr>
  </w:style>
  <w:style w:type="paragraph" w:customStyle="1" w:styleId="2ColumnHeading">
    <w:name w:val="2Column Heading"/>
    <w:basedOn w:val="BodyText"/>
    <w:qFormat/>
    <w:rsid w:val="004707D2"/>
    <w:pPr>
      <w:spacing w:after="60"/>
      <w:ind w:left="-2268"/>
    </w:pPr>
    <w:rPr>
      <w:b/>
    </w:rPr>
  </w:style>
  <w:style w:type="paragraph" w:customStyle="1" w:styleId="Heading1TOC">
    <w:name w:val="Heading1 TOC"/>
    <w:basedOn w:val="Normal"/>
    <w:qFormat/>
    <w:rsid w:val="004707D2"/>
    <w:pPr>
      <w:spacing w:before="240" w:after="120"/>
    </w:pPr>
    <w:rPr>
      <w:rFonts w:ascii="Times New Roman" w:hAnsi="Times New Roman"/>
      <w:b/>
      <w:sz w:val="32"/>
    </w:rPr>
  </w:style>
  <w:style w:type="paragraph" w:customStyle="1" w:styleId="Heading2TOC">
    <w:name w:val="Heading2 TOC"/>
    <w:basedOn w:val="Normal"/>
    <w:qFormat/>
    <w:rsid w:val="004707D2"/>
    <w:pPr>
      <w:spacing w:before="240" w:after="60"/>
    </w:pPr>
    <w:rPr>
      <w:rFonts w:ascii="Times New Roman" w:hAnsi="Times New Roman"/>
      <w:b/>
      <w:sz w:val="28"/>
    </w:rPr>
  </w:style>
  <w:style w:type="character" w:customStyle="1" w:styleId="Underline">
    <w:name w:val="Underline"/>
    <w:basedOn w:val="DefaultParagraphFont"/>
    <w:qFormat/>
    <w:rsid w:val="004707D2"/>
    <w:rPr>
      <w:u w:val="single"/>
    </w:rPr>
  </w:style>
  <w:style w:type="character" w:customStyle="1" w:styleId="BoldandItalics">
    <w:name w:val="Bold and Italics"/>
    <w:qFormat/>
    <w:rsid w:val="004707D2"/>
    <w:rPr>
      <w:b/>
      <w:i/>
      <w:u w:val="none"/>
    </w:rPr>
  </w:style>
  <w:style w:type="paragraph" w:styleId="BalloonText">
    <w:name w:val="Balloon Text"/>
    <w:basedOn w:val="Normal"/>
    <w:link w:val="BalloonTextChar"/>
    <w:rsid w:val="004707D2"/>
    <w:rPr>
      <w:rFonts w:ascii="Tahoma" w:hAnsi="Tahoma" w:cs="Tahoma"/>
      <w:sz w:val="16"/>
      <w:szCs w:val="16"/>
    </w:rPr>
  </w:style>
  <w:style w:type="character" w:customStyle="1" w:styleId="BalloonTextChar">
    <w:name w:val="Balloon Text Char"/>
    <w:basedOn w:val="DefaultParagraphFont"/>
    <w:link w:val="BalloonText"/>
    <w:rsid w:val="00470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7D2"/>
    <w:rPr>
      <w:b/>
      <w:color w:val="660033"/>
      <w:spacing w:val="0"/>
    </w:rPr>
  </w:style>
  <w:style w:type="paragraph" w:customStyle="1" w:styleId="Nameditemlist">
    <w:name w:val="Named item list"/>
    <w:basedOn w:val="BodyText"/>
    <w:qFormat/>
    <w:rsid w:val="004707D2"/>
    <w:pPr>
      <w:tabs>
        <w:tab w:val="left" w:pos="2835"/>
      </w:tabs>
      <w:ind w:left="2835" w:hanging="2835"/>
    </w:pPr>
  </w:style>
  <w:style w:type="paragraph" w:customStyle="1" w:styleId="BodyTextnopadding">
    <w:name w:val="Body Text no padding"/>
    <w:basedOn w:val="BodyText"/>
    <w:qFormat/>
    <w:rsid w:val="004707D2"/>
    <w:pPr>
      <w:spacing w:before="0" w:after="0"/>
    </w:pPr>
  </w:style>
  <w:style w:type="paragraph" w:customStyle="1" w:styleId="BodyTextBold">
    <w:name w:val="Body Text Bold"/>
    <w:basedOn w:val="BodyText"/>
    <w:qFormat/>
    <w:rsid w:val="004707D2"/>
    <w:rPr>
      <w:b/>
    </w:rPr>
  </w:style>
  <w:style w:type="character" w:styleId="Hyperlink">
    <w:name w:val="Hyperlink"/>
    <w:basedOn w:val="DefaultParagraphFont"/>
    <w:uiPriority w:val="99"/>
    <w:unhideWhenUsed/>
    <w:rsid w:val="00266B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8709</Characters>
  <Application>Microsoft Office Word</Application>
  <DocSecurity>0</DocSecurity>
  <Lines>235</Lines>
  <Paragraphs>158</Paragraphs>
  <ScaleCrop>false</ScaleCrop>
  <Company>Author-it Software Corporation Ltd.</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HLTDEP008 Construct and insert an implant retained overdenture</dc:title>
  <dc:subject>Approved</dc:subject>
  <dc:creator>HumanAbility</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