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F00" w:rsidP="00E73F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HLTDEP004 Establish and record jaw relationships and select artificial teeth</w:t>
      </w:r>
      <w:r>
        <w:fldChar w:fldCharType="end"/>
      </w:r>
    </w:p>
    <w:p w:rsidR="00E73F00" w:rsidP="00E73F00">
      <w:pPr>
        <w:pStyle w:val="Version"/>
        <w:sectPr w:rsidSect="00872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96D" w:rsidP="0087296D">
      <w:pPr>
        <w:pStyle w:val="SuperHeading"/>
      </w:pPr>
      <w:r w:rsidRPr="0087296D">
        <w:t>HLTDEP004 Establish and record jaw relationships and select artificial teeth</w:t>
      </w:r>
    </w:p>
    <w:p w:rsidR="00000000" w:rsidRPr="0087296D" w:rsidP="0087296D">
      <w:pPr>
        <w:pStyle w:val="Heading1"/>
      </w:pPr>
      <w:bookmarkStart w:id="1" w:name="O_819620"/>
      <w:bookmarkEnd w:id="1"/>
      <w:r w:rsidRPr="0087296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E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 xml:space="preserve">Release </w:t>
            </w:r>
            <w:r w:rsidRPr="0087296D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 xml:space="preserve">Comments </w:t>
            </w:r>
          </w:p>
        </w:tc>
      </w:tr>
      <w:tr w:rsidTr="00E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 xml:space="preserve">This version was released in </w:t>
            </w:r>
            <w:r w:rsidRPr="0087296D">
              <w:rPr>
                <w:rStyle w:val="Emphasis"/>
              </w:rPr>
              <w:t>HLT Health Training Package release 3.0</w:t>
            </w:r>
            <w:r w:rsidRPr="0087296D">
              <w:t xml:space="preserve"> and meets the requirements of the 2012 Standards for Training Packages.</w:t>
            </w:r>
          </w:p>
          <w:p w:rsidR="00000000" w:rsidRPr="0087296D" w:rsidP="0087296D">
            <w:pPr>
              <w:pStyle w:val="BodyText"/>
            </w:pPr>
            <w:r w:rsidRPr="0087296D">
              <w:t xml:space="preserve">Significant changes to the elements and performance criteria. New evidence requirements for assessment including volume and frequency requirements. Removal of pre-requisites. </w:t>
            </w:r>
            <w:r w:rsidRPr="0087296D">
              <w:br/>
              <w:t>240 wor</w:t>
            </w:r>
            <w:r w:rsidRPr="0087296D">
              <w:t>k placement hours</w:t>
            </w:r>
          </w:p>
          <w:p w:rsidR="00000000" w:rsidRPr="0087296D" w:rsidP="0087296D">
            <w:pPr>
              <w:pStyle w:val="BodyText"/>
            </w:pPr>
            <w:r w:rsidRPr="0087296D">
              <w:t>Supersedes HLTDP604D</w:t>
            </w:r>
          </w:p>
        </w:tc>
      </w:tr>
    </w:tbl>
    <w:p w:rsidR="00000000" w:rsidRPr="0087296D" w:rsidP="0087296D">
      <w:pPr>
        <w:pStyle w:val="BodyText"/>
      </w:pPr>
    </w:p>
    <w:p w:rsidR="00000000" w:rsidRPr="0087296D" w:rsidP="0087296D">
      <w:pPr>
        <w:pStyle w:val="AllowPageBreak"/>
      </w:pPr>
    </w:p>
    <w:p w:rsidR="00000000" w:rsidRPr="0087296D" w:rsidP="0087296D">
      <w:pPr>
        <w:pStyle w:val="Heading1"/>
      </w:pPr>
      <w:bookmarkStart w:id="2" w:name="O_819621"/>
      <w:bookmarkEnd w:id="2"/>
      <w:r w:rsidRPr="0087296D">
        <w:t>Application</w:t>
      </w:r>
    </w:p>
    <w:p w:rsidR="00000000" w:rsidRPr="0087296D" w:rsidP="00E73F00">
      <w:pPr>
        <w:pStyle w:val="BodyText"/>
      </w:pPr>
      <w:r w:rsidRPr="0087296D">
        <w:t>This unit of competency describes the skills and knowledge required to create and outline the form of dentures, record jaw relationships and select artificial teeth for dentate and edent</w:t>
      </w:r>
      <w:r w:rsidRPr="0087296D">
        <w:t>ulous patients.</w:t>
      </w:r>
    </w:p>
    <w:p w:rsidR="00000000" w:rsidRPr="0087296D" w:rsidP="00E73F00">
      <w:pPr>
        <w:pStyle w:val="BodyText"/>
      </w:pPr>
      <w:r w:rsidRPr="0087296D">
        <w:t>This unit applies to work in dental prosthetics.</w:t>
      </w:r>
    </w:p>
    <w:p w:rsidR="00E73F00" w:rsidRPr="00E73F00" w:rsidP="00E73F00">
      <w:pPr>
        <w:pStyle w:val="BodyText"/>
        <w:rPr>
          <w:i/>
        </w:rPr>
      </w:pPr>
      <w:r w:rsidRPr="00E73F0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73F00">
        <w:rPr>
          <w:i/>
        </w:rPr>
        <w:t>.</w:t>
      </w:r>
    </w:p>
    <w:p w:rsidR="00000000" w:rsidRPr="0087296D" w:rsidP="0087296D">
      <w:pPr>
        <w:pStyle w:val="Heading1"/>
      </w:pPr>
      <w:bookmarkStart w:id="3" w:name="O_819625"/>
      <w:bookmarkEnd w:id="3"/>
      <w:r w:rsidRPr="0087296D">
        <w:t>E</w:t>
      </w:r>
      <w:r w:rsidRPr="0087296D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rPr>
                <w:rStyle w:val="SpecialBold"/>
              </w:rPr>
              <w:t>PERFORMANCE CRITERIA</w:t>
            </w:r>
          </w:p>
        </w:tc>
      </w:tr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Performance criteria describe the performance needed to demonstrate achievement of the element.</w:t>
            </w:r>
          </w:p>
        </w:tc>
      </w:tr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1. Prepare patient for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>1.1 Interpret and clarify referred work order if from unfamiliar source</w:t>
            </w:r>
          </w:p>
          <w:p w:rsidR="00000000" w:rsidRPr="0087296D" w:rsidP="0087296D">
            <w:pPr>
              <w:pStyle w:val="BodyText"/>
            </w:pPr>
            <w:r w:rsidRPr="0087296D">
              <w:t>1.2 Provide full details of the procedure to the patient or carer and confirm consent to follow treatment plan</w:t>
            </w:r>
          </w:p>
          <w:p w:rsidR="00000000" w:rsidRPr="0087296D" w:rsidP="0087296D">
            <w:pPr>
              <w:pStyle w:val="BodyText"/>
            </w:pPr>
            <w:r w:rsidRPr="0087296D">
              <w:t xml:space="preserve">1.3 Prepare personal protective equipment for the patient and members of </w:t>
            </w:r>
            <w:r w:rsidRPr="0087296D">
              <w:t>the dental team</w:t>
            </w:r>
          </w:p>
          <w:p w:rsidR="00000000" w:rsidP="0087296D">
            <w:pPr>
              <w:pStyle w:val="BodyText"/>
              <w:rPr>
                <w:lang w:val="en-NZ"/>
              </w:rPr>
            </w:pPr>
          </w:p>
        </w:tc>
      </w:tr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2. Select technique, equipment</w:t>
            </w:r>
            <w:r w:rsidRPr="0087296D">
              <w:br/>
              <w:t xml:space="preserve"> and materials for recordings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>2.1 Select technique, equipment and materials that are appropriate for the procedure</w:t>
            </w:r>
          </w:p>
          <w:p w:rsidR="00000000" w:rsidRPr="0087296D" w:rsidP="0087296D">
            <w:pPr>
              <w:pStyle w:val="BodyText"/>
            </w:pPr>
            <w:r w:rsidRPr="0087296D">
              <w:t>2.2 Prepare and use equipment and materials in accordance with manufacturers’ instructions</w:t>
            </w:r>
          </w:p>
          <w:p w:rsidR="00000000" w:rsidP="0087296D">
            <w:pPr>
              <w:pStyle w:val="BodyText"/>
              <w:rPr>
                <w:lang w:val="en-NZ"/>
              </w:rPr>
            </w:pPr>
          </w:p>
        </w:tc>
      </w:tr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3. Record jaw relationships and occlusion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>3.1 Position the patient comfortably for the procedure</w:t>
            </w:r>
          </w:p>
          <w:p w:rsidR="00000000" w:rsidRPr="0087296D" w:rsidP="0087296D">
            <w:pPr>
              <w:pStyle w:val="BodyText"/>
            </w:pPr>
            <w:r w:rsidRPr="0087296D">
              <w:t>3.2 Instruct the patient on participation during the procedure</w:t>
            </w:r>
          </w:p>
          <w:p w:rsidR="00000000" w:rsidRPr="0087296D" w:rsidP="0087296D">
            <w:pPr>
              <w:pStyle w:val="BodyText"/>
            </w:pPr>
            <w:r w:rsidRPr="0087296D">
              <w:t>3.3 Ensure stability and comfort of registration rims</w:t>
            </w:r>
          </w:p>
          <w:p w:rsidR="00000000" w:rsidRPr="0087296D" w:rsidP="0087296D">
            <w:pPr>
              <w:pStyle w:val="BodyText"/>
            </w:pPr>
            <w:r w:rsidRPr="0087296D">
              <w:t>3.4 Observe centric and eccentric mandibular movements</w:t>
            </w:r>
          </w:p>
          <w:p w:rsidR="00000000" w:rsidRPr="0087296D" w:rsidP="0087296D">
            <w:pPr>
              <w:pStyle w:val="BodyText"/>
            </w:pPr>
            <w:r w:rsidRPr="0087296D">
              <w:t>3.5 Determine and record functional measurements and dimensions</w:t>
            </w:r>
          </w:p>
          <w:p w:rsidR="00000000" w:rsidRPr="0087296D" w:rsidP="0087296D">
            <w:pPr>
              <w:pStyle w:val="BodyText"/>
            </w:pPr>
            <w:r w:rsidRPr="0087296D">
              <w:t>3.6 Consider referral if jaw relationship cannot be determined</w:t>
            </w:r>
          </w:p>
          <w:p w:rsidR="00000000" w:rsidRPr="0087296D" w:rsidP="0087296D">
            <w:pPr>
              <w:pStyle w:val="BodyText"/>
            </w:pPr>
            <w:r w:rsidRPr="0087296D">
              <w:t>3.7 Check recordings by observation and repetition.</w:t>
            </w:r>
          </w:p>
          <w:p w:rsidR="00000000" w:rsidRPr="0087296D" w:rsidP="0087296D">
            <w:pPr>
              <w:pStyle w:val="BodyText"/>
            </w:pPr>
            <w:r w:rsidRPr="0087296D">
              <w:t>3.8 Maintain integrity</w:t>
            </w:r>
            <w:r w:rsidRPr="0087296D">
              <w:t xml:space="preserve"> of the recording during extra-oral transfer</w:t>
            </w:r>
          </w:p>
          <w:p w:rsidR="00000000" w:rsidRPr="0087296D" w:rsidP="0087296D">
            <w:pPr>
              <w:pStyle w:val="BodyText"/>
            </w:pPr>
            <w:r w:rsidRPr="0087296D">
              <w:t>3.9 Ensure the patient’s wellbeing before they leave dental workplace</w:t>
            </w:r>
          </w:p>
          <w:p w:rsidR="00000000" w:rsidP="0087296D">
            <w:pPr>
              <w:pStyle w:val="BodyText"/>
              <w:rPr>
                <w:lang w:val="en-NZ"/>
              </w:rPr>
            </w:pPr>
          </w:p>
        </w:tc>
      </w:tr>
      <w:tr w:rsidTr="0087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t>4. Select appropriate artificial teeth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>4.1 Ensure adequacy of natural and artificial light for selection of colour and shade</w:t>
            </w:r>
          </w:p>
          <w:p w:rsidR="00000000" w:rsidRPr="0087296D" w:rsidP="0087296D">
            <w:pPr>
              <w:pStyle w:val="BodyText"/>
            </w:pPr>
            <w:r w:rsidRPr="0087296D">
              <w:t>4.2 Consult pa</w:t>
            </w:r>
            <w:r w:rsidRPr="0087296D">
              <w:t>tient regarding aesthetic and functional requirements</w:t>
            </w:r>
          </w:p>
          <w:p w:rsidR="00000000" w:rsidRPr="0087296D" w:rsidP="0087296D">
            <w:pPr>
              <w:pStyle w:val="BodyText"/>
            </w:pPr>
            <w:r w:rsidRPr="0087296D">
              <w:t>4.3 Consider properties and composition of artificial teeth in relation to wear and aesthetics</w:t>
            </w:r>
          </w:p>
          <w:p w:rsidR="00000000" w:rsidRPr="0087296D" w:rsidP="0087296D">
            <w:pPr>
              <w:pStyle w:val="BodyText"/>
            </w:pPr>
            <w:r w:rsidRPr="0087296D">
              <w:t>4.4 Examine manufacturers’ mould and shade guides</w:t>
            </w:r>
          </w:p>
          <w:p w:rsidR="00000000" w:rsidRPr="0087296D" w:rsidP="0087296D">
            <w:pPr>
              <w:pStyle w:val="BodyText"/>
            </w:pPr>
            <w:r w:rsidRPr="0087296D">
              <w:t>4.5 Select artificial teeth that are appropriate in shade</w:t>
            </w:r>
            <w:r w:rsidRPr="0087296D">
              <w:t>, size and shape</w:t>
            </w:r>
          </w:p>
        </w:tc>
      </w:tr>
    </w:tbl>
    <w:p w:rsidR="00000000" w:rsidRPr="0087296D" w:rsidP="0087296D">
      <w:pPr>
        <w:pStyle w:val="BodyText"/>
      </w:pPr>
    </w:p>
    <w:p w:rsidR="00000000" w:rsidRPr="0087296D" w:rsidP="0087296D">
      <w:pPr>
        <w:pStyle w:val="AllowPageBreak"/>
      </w:pPr>
    </w:p>
    <w:p w:rsidR="00000000" w:rsidRPr="0087296D" w:rsidP="0087296D">
      <w:pPr>
        <w:pStyle w:val="Heading1"/>
      </w:pPr>
      <w:bookmarkStart w:id="4" w:name="O_819626"/>
      <w:bookmarkEnd w:id="4"/>
      <w:r w:rsidRPr="0087296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96D">
            <w:pPr>
              <w:pStyle w:val="BodyText"/>
              <w:rPr>
                <w:lang w:val="en-NZ"/>
              </w:rPr>
            </w:pPr>
            <w:r w:rsidRPr="0087296D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87296D">
              <w:t xml:space="preserve">are essential to </w:t>
            </w:r>
            <w:r w:rsidRPr="0087296D">
              <w:rPr>
                <w:rStyle w:val="Emphasis"/>
              </w:rPr>
              <w:t>performance.</w:t>
            </w:r>
          </w:p>
        </w:tc>
      </w:tr>
      <w:tr w:rsidTr="00E73F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96D" w:rsidP="0087296D">
            <w:pPr>
              <w:pStyle w:val="BodyText"/>
            </w:pPr>
            <w:r w:rsidRPr="0087296D">
              <w:t>Foundation skills essential to performance are explicit in the performance criteria of this unit of competency.</w:t>
            </w:r>
          </w:p>
        </w:tc>
      </w:tr>
    </w:tbl>
    <w:p w:rsidR="00E73F00" w:rsidP="0087296D">
      <w:pPr>
        <w:pStyle w:val="BodyText"/>
      </w:pPr>
    </w:p>
    <w:p w:rsidR="00E73F00" w:rsidP="0087296D">
      <w:pPr>
        <w:pStyle w:val="BodyText"/>
      </w:pPr>
    </w:p>
    <w:p w:rsidR="00000000" w:rsidRPr="0087296D" w:rsidP="0087296D">
      <w:pPr>
        <w:pStyle w:val="Heading1"/>
      </w:pPr>
      <w:bookmarkStart w:id="5" w:name="O_819628"/>
      <w:bookmarkEnd w:id="5"/>
      <w:r w:rsidRPr="0087296D">
        <w:t>Unit Mapping Information</w:t>
      </w:r>
    </w:p>
    <w:p w:rsidR="00000000" w:rsidRPr="0087296D" w:rsidP="00E73F00">
      <w:pPr>
        <w:pStyle w:val="BodyText"/>
      </w:pPr>
      <w:r w:rsidRPr="0087296D">
        <w:t xml:space="preserve">No Equivalent Unit </w:t>
      </w:r>
    </w:p>
    <w:p w:rsidR="00000000" w:rsidRPr="0087296D" w:rsidP="0087296D">
      <w:pPr>
        <w:pStyle w:val="Heading1"/>
      </w:pPr>
      <w:bookmarkStart w:id="6" w:name="O_819635"/>
      <w:bookmarkEnd w:id="6"/>
      <w:r w:rsidRPr="0087296D">
        <w:t>Links</w:t>
      </w:r>
    </w:p>
    <w:p w:rsidR="00000000" w:rsidRPr="0087296D" w:rsidP="00E73F00">
      <w:pPr>
        <w:pStyle w:val="BodyText"/>
      </w:pPr>
      <w:r w:rsidRPr="0087296D">
        <w:t>Companion Volume implementation guides are found in VETN</w:t>
      </w:r>
      <w:r w:rsidRPr="0087296D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043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296D" w:rsidP="0087296D"/>
    <w:sectPr w:rsidSect="00872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6D" w:rsidRPr="00E73F00" w:rsidP="00E73F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F00" w:rsidP="00872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3F00" w:rsidP="00872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3F00" w:rsidP="00872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F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96D" w:rsidRPr="00E73F00" w:rsidP="00E73F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F00" w:rsidRPr="002D2AF8" w:rsidP="00872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HLTDEP004 Establish and record jaw relationships and select artificial teeth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73F00" w:rsidP="00872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96D"/>
  </w:style>
  <w:style w:type="character" w:customStyle="1" w:styleId="Heading1Char">
    <w:name w:val="Heading 1 Char"/>
    <w:basedOn w:val="DefaultParagraphFont"/>
    <w:link w:val="Heading1"/>
    <w:rsid w:val="00872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9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296D"/>
    <w:rPr>
      <w:b/>
      <w:spacing w:val="0"/>
    </w:rPr>
  </w:style>
  <w:style w:type="character" w:styleId="Emphasis">
    <w:name w:val="Emphasis"/>
    <w:basedOn w:val="DefaultParagraphFont"/>
    <w:qFormat/>
    <w:rsid w:val="0087296D"/>
    <w:rPr>
      <w:i/>
    </w:rPr>
  </w:style>
  <w:style w:type="paragraph" w:customStyle="1" w:styleId="SuperHeading">
    <w:name w:val="SuperHeading"/>
    <w:basedOn w:val="Normal"/>
    <w:rsid w:val="00872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9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9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2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9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96D"/>
  </w:style>
  <w:style w:type="paragraph" w:styleId="TableofFigures">
    <w:name w:val="table of figures"/>
    <w:basedOn w:val="Normal"/>
    <w:next w:val="Normal"/>
    <w:semiHidden/>
    <w:rsid w:val="00872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9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296D"/>
    <w:rPr>
      <w:rFonts w:ascii="Wingdings" w:hAnsi="Wingdings"/>
    </w:rPr>
  </w:style>
  <w:style w:type="paragraph" w:customStyle="1" w:styleId="TableHeading">
    <w:name w:val="Table Heading"/>
    <w:basedOn w:val="HeadingBase"/>
    <w:rsid w:val="00872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96D"/>
    <w:rPr>
      <w:color w:val="0033CC"/>
      <w:u w:val="none"/>
    </w:rPr>
  </w:style>
  <w:style w:type="paragraph" w:customStyle="1" w:styleId="BodyTextRight">
    <w:name w:val="Body Text Right"/>
    <w:basedOn w:val="BodyText"/>
    <w:rsid w:val="00872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9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96D"/>
    <w:rPr>
      <w:sz w:val="32"/>
    </w:rPr>
  </w:style>
  <w:style w:type="paragraph" w:customStyle="1" w:styleId="HeadingProcedure">
    <w:name w:val="Heading Procedure"/>
    <w:basedOn w:val="HeadingBase"/>
    <w:next w:val="Normal"/>
    <w:rsid w:val="00872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96D"/>
    <w:pPr>
      <w:spacing w:before="60" w:after="60"/>
    </w:pPr>
  </w:style>
  <w:style w:type="paragraph" w:styleId="ListContinue">
    <w:name w:val="List Continue"/>
    <w:basedOn w:val="List"/>
    <w:rsid w:val="0087296D"/>
    <w:pPr>
      <w:ind w:firstLine="0"/>
    </w:pPr>
  </w:style>
  <w:style w:type="paragraph" w:customStyle="1" w:styleId="ListNote">
    <w:name w:val="List Note"/>
    <w:basedOn w:val="List"/>
    <w:rsid w:val="00872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96D"/>
    <w:rPr>
      <w:rFonts w:ascii="Courier New" w:hAnsi="Courier New"/>
    </w:rPr>
  </w:style>
  <w:style w:type="paragraph" w:customStyle="1" w:styleId="NoteBullet">
    <w:name w:val="Note Bullet"/>
    <w:basedOn w:val="Note"/>
    <w:rsid w:val="00872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9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2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96D"/>
    <w:rPr>
      <w:b/>
      <w:smallCaps/>
    </w:rPr>
  </w:style>
  <w:style w:type="paragraph" w:customStyle="1" w:styleId="TableListNumber">
    <w:name w:val="Table List Number"/>
    <w:basedOn w:val="ListNumber"/>
    <w:rsid w:val="00872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96D"/>
    <w:pPr>
      <w:numPr>
        <w:numId w:val="7"/>
      </w:numPr>
    </w:pPr>
  </w:style>
  <w:style w:type="paragraph" w:customStyle="1" w:styleId="ListAlpha2">
    <w:name w:val="List Alpha 2"/>
    <w:basedOn w:val="List2"/>
    <w:rsid w:val="0087296D"/>
    <w:pPr>
      <w:numPr>
        <w:numId w:val="6"/>
      </w:numPr>
    </w:pPr>
  </w:style>
  <w:style w:type="paragraph" w:styleId="List2">
    <w:name w:val="List 2"/>
    <w:basedOn w:val="BodyText"/>
    <w:rsid w:val="00872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9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9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296D"/>
    <w:pPr>
      <w:numPr>
        <w:numId w:val="2"/>
      </w:numPr>
    </w:pPr>
  </w:style>
  <w:style w:type="paragraph" w:styleId="ListContinue2">
    <w:name w:val="List Continue 2"/>
    <w:basedOn w:val="List2"/>
    <w:rsid w:val="0087296D"/>
    <w:pPr>
      <w:ind w:firstLine="0"/>
    </w:pPr>
  </w:style>
  <w:style w:type="paragraph" w:styleId="ListContinue3">
    <w:name w:val="List Continue 3"/>
    <w:basedOn w:val="List3"/>
    <w:rsid w:val="0087296D"/>
    <w:pPr>
      <w:ind w:left="1021" w:firstLine="0"/>
    </w:pPr>
  </w:style>
  <w:style w:type="paragraph" w:styleId="ListContinue4">
    <w:name w:val="List Continue 4"/>
    <w:basedOn w:val="List4"/>
    <w:rsid w:val="0087296D"/>
    <w:pPr>
      <w:ind w:firstLine="0"/>
    </w:pPr>
  </w:style>
  <w:style w:type="paragraph" w:styleId="ListContinue5">
    <w:name w:val="List Continue 5"/>
    <w:basedOn w:val="List5"/>
    <w:rsid w:val="0087296D"/>
    <w:pPr>
      <w:ind w:firstLine="0"/>
    </w:pPr>
  </w:style>
  <w:style w:type="paragraph" w:styleId="ListNumber3">
    <w:name w:val="List Number 3"/>
    <w:basedOn w:val="List3"/>
    <w:rsid w:val="0087296D"/>
    <w:pPr>
      <w:numPr>
        <w:numId w:val="3"/>
      </w:numPr>
    </w:pPr>
  </w:style>
  <w:style w:type="paragraph" w:styleId="ListNumber4">
    <w:name w:val="List Number 4"/>
    <w:basedOn w:val="List4"/>
    <w:rsid w:val="0087296D"/>
    <w:pPr>
      <w:numPr>
        <w:numId w:val="4"/>
      </w:numPr>
    </w:pPr>
  </w:style>
  <w:style w:type="paragraph" w:styleId="ListNumber5">
    <w:name w:val="List Number 5"/>
    <w:basedOn w:val="List5"/>
    <w:rsid w:val="0087296D"/>
    <w:pPr>
      <w:numPr>
        <w:numId w:val="5"/>
      </w:numPr>
    </w:pPr>
  </w:style>
  <w:style w:type="paragraph" w:styleId="BlockText">
    <w:name w:val="Block Text"/>
    <w:basedOn w:val="Normal"/>
    <w:rsid w:val="00872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96D"/>
    <w:rPr>
      <w:sz w:val="16"/>
      <w:vertAlign w:val="superscript"/>
    </w:rPr>
  </w:style>
  <w:style w:type="character" w:customStyle="1" w:styleId="Symbols">
    <w:name w:val="Symbols"/>
    <w:basedOn w:val="DefaultParagraphFont"/>
    <w:rsid w:val="0087296D"/>
    <w:rPr>
      <w:rFonts w:ascii="Symbol" w:hAnsi="Symbol"/>
    </w:rPr>
  </w:style>
  <w:style w:type="character" w:customStyle="1" w:styleId="MenuOptions">
    <w:name w:val="Menu Options"/>
    <w:basedOn w:val="DefaultParagraphFont"/>
    <w:rsid w:val="00872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96D"/>
    <w:rPr>
      <w:b/>
    </w:rPr>
  </w:style>
  <w:style w:type="character" w:customStyle="1" w:styleId="Underlined">
    <w:name w:val="Underlined"/>
    <w:basedOn w:val="DefaultParagraphFont"/>
    <w:rsid w:val="0087296D"/>
    <w:rPr>
      <w:u w:val="single"/>
    </w:rPr>
  </w:style>
  <w:style w:type="paragraph" w:customStyle="1" w:styleId="TableBodyTextRight">
    <w:name w:val="Table Body Text Right"/>
    <w:basedOn w:val="TableBodyText"/>
    <w:rsid w:val="00872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96D"/>
    <w:rPr>
      <w:sz w:val="18"/>
    </w:rPr>
  </w:style>
  <w:style w:type="paragraph" w:customStyle="1" w:styleId="BodySmallRight">
    <w:name w:val="Body Small Right"/>
    <w:basedOn w:val="BodyTextRight"/>
    <w:rsid w:val="0087296D"/>
    <w:rPr>
      <w:sz w:val="18"/>
      <w:szCs w:val="18"/>
    </w:rPr>
  </w:style>
  <w:style w:type="paragraph" w:customStyle="1" w:styleId="MarginEdition">
    <w:name w:val="Margin Edition"/>
    <w:basedOn w:val="MarginNote"/>
    <w:rsid w:val="00872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96D"/>
    <w:rPr>
      <w:sz w:val="2"/>
      <w:szCs w:val="2"/>
    </w:rPr>
  </w:style>
  <w:style w:type="character" w:customStyle="1" w:styleId="Small">
    <w:name w:val="Small"/>
    <w:basedOn w:val="DefaultParagraphFont"/>
    <w:rsid w:val="0087296D"/>
    <w:rPr>
      <w:sz w:val="16"/>
    </w:rPr>
  </w:style>
  <w:style w:type="paragraph" w:customStyle="1" w:styleId="WideTable">
    <w:name w:val="Wide Table"/>
    <w:basedOn w:val="Normal"/>
    <w:rsid w:val="00872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96D"/>
  </w:style>
  <w:style w:type="paragraph" w:styleId="Quote">
    <w:name w:val="Quote"/>
    <w:basedOn w:val="Heading1"/>
    <w:link w:val="QuoteChar"/>
    <w:qFormat/>
    <w:rsid w:val="00872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96D"/>
    <w:pPr>
      <w:pageBreakBefore/>
    </w:pPr>
  </w:style>
  <w:style w:type="paragraph" w:customStyle="1" w:styleId="Border">
    <w:name w:val="Border"/>
    <w:basedOn w:val="Normal"/>
    <w:qFormat/>
    <w:rsid w:val="00872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96D"/>
    <w:rPr>
      <w:u w:val="single"/>
    </w:rPr>
  </w:style>
  <w:style w:type="character" w:customStyle="1" w:styleId="BoldandItalics">
    <w:name w:val="Bold and Italics"/>
    <w:qFormat/>
    <w:rsid w:val="0087296D"/>
    <w:rPr>
      <w:b/>
      <w:i/>
      <w:u w:val="none"/>
    </w:rPr>
  </w:style>
  <w:style w:type="paragraph" w:styleId="BalloonText">
    <w:name w:val="Balloon Text"/>
    <w:basedOn w:val="Normal"/>
    <w:link w:val="BalloonTextChar"/>
    <w:rsid w:val="0087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96D"/>
    <w:pPr>
      <w:spacing w:before="0" w:after="0"/>
    </w:pPr>
  </w:style>
  <w:style w:type="paragraph" w:customStyle="1" w:styleId="BodyTextBold">
    <w:name w:val="Body Text Bold"/>
    <w:basedOn w:val="BodyText"/>
    <w:qFormat/>
    <w:rsid w:val="0087296D"/>
    <w:rPr>
      <w:b/>
    </w:rPr>
  </w:style>
  <w:style w:type="character" w:styleId="Hyperlink">
    <w:name w:val="Hyperlink"/>
    <w:basedOn w:val="DefaultParagraphFont"/>
    <w:uiPriority w:val="99"/>
    <w:unhideWhenUsed/>
    <w:rsid w:val="00E73F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2943</Characters>
  <Application>Microsoft Office Word</Application>
  <DocSecurity>0</DocSecurity>
  <Lines>101</Lines>
  <Paragraphs>59</Paragraphs>
  <ScaleCrop>false</ScaleCrop>
  <Company>Author-it Software Corporation Ltd.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HLTDEP004 Establish and record jaw relationships and select artificial teeth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