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7B5" w:rsidP="00D627B5">
      <w:pPr>
        <w:pStyle w:val="Title"/>
      </w:pPr>
      <w:r>
        <w:fldChar w:fldCharType="begin"/>
      </w:r>
      <w:r>
        <w:instrText xml:space="preserve"> TITLE   \* MERGEFORMAT </w:instrText>
      </w:r>
      <w:r>
        <w:fldChar w:fldCharType="separate"/>
      </w:r>
      <w:r>
        <w:t>Assessment Requirements for HLTDEP002 Gather data, conduct dental prosthetic examination and develop treatment plan</w:t>
      </w:r>
      <w:r>
        <w:fldChar w:fldCharType="end"/>
      </w:r>
    </w:p>
    <w:p w:rsidR="00D627B5" w:rsidP="00D627B5">
      <w:pPr>
        <w:pStyle w:val="Version"/>
        <w:sectPr w:rsidSect="00BD69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900" w:rsidP="00BD6900">
      <w:pPr>
        <w:pStyle w:val="SuperHeading"/>
      </w:pPr>
      <w:r w:rsidRPr="00BD6900">
        <w:t>Assessment Requirements for HLTDEP002 Gather data, conduct dental prosthetic examination and develop treatment plan</w:t>
      </w:r>
    </w:p>
    <w:p w:rsidR="00000000" w:rsidRPr="00BD6900" w:rsidP="00BD6900">
      <w:pPr>
        <w:pStyle w:val="Heading1"/>
      </w:pPr>
      <w:bookmarkStart w:id="1" w:name="O_819440"/>
      <w:bookmarkEnd w:id="1"/>
      <w:r w:rsidRPr="00BD6900">
        <w:t>Modification History</w:t>
      </w:r>
    </w:p>
    <w:tbl>
      <w:tblPr>
        <w:tblW w:w="0" w:type="auto"/>
        <w:tblCellMar>
          <w:left w:w="62" w:type="dxa"/>
          <w:right w:w="62" w:type="dxa"/>
        </w:tblCellMar>
        <w:tblLook w:val="0000"/>
      </w:tblPr>
      <w:tblGrid>
        <w:gridCol w:w="2147"/>
        <w:gridCol w:w="7049"/>
      </w:tblGrid>
      <w:tr w:rsidTr="00D627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900">
            <w:pPr>
              <w:pStyle w:val="BodyText"/>
              <w:rPr>
                <w:lang w:val="en-NZ"/>
              </w:rPr>
            </w:pPr>
            <w:r w:rsidRPr="00BD6900">
              <w:t xml:space="preserve">Release </w:t>
            </w:r>
            <w:r w:rsidRPr="00BD6900">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900">
            <w:pPr>
              <w:pStyle w:val="BodyText"/>
              <w:rPr>
                <w:lang w:val="en-NZ"/>
              </w:rPr>
            </w:pPr>
            <w:r w:rsidRPr="00BD6900">
              <w:t xml:space="preserve">Comments </w:t>
            </w:r>
          </w:p>
        </w:tc>
      </w:tr>
      <w:tr w:rsidTr="00D627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900">
            <w:pPr>
              <w:pStyle w:val="BodyText"/>
              <w:rPr>
                <w:lang w:val="en-NZ"/>
              </w:rPr>
            </w:pPr>
            <w:r w:rsidRPr="00BD690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900" w:rsidP="00BD6900">
            <w:pPr>
              <w:pStyle w:val="BodyText"/>
            </w:pPr>
            <w:r w:rsidRPr="00BD6900">
              <w:t xml:space="preserve">This version was released in </w:t>
            </w:r>
            <w:r w:rsidRPr="00BD6900">
              <w:rPr>
                <w:rStyle w:val="Emphasis"/>
              </w:rPr>
              <w:t>HLT Health Training Package release 3.0</w:t>
            </w:r>
            <w:r w:rsidRPr="00BD6900">
              <w:t xml:space="preserve"> and meets the requirements of the 2012 Standards for Training Packages.</w:t>
            </w:r>
          </w:p>
          <w:p w:rsidR="00000000" w:rsidRPr="00BD6900" w:rsidP="00BD6900">
            <w:pPr>
              <w:pStyle w:val="BodyText"/>
            </w:pPr>
            <w:r w:rsidRPr="00BD6900">
              <w:t xml:space="preserve">Significant changes to the elements and performance criteria. New evidence requirements for assessment including volume and frequency requirements. Removal of pre-requisites. </w:t>
            </w:r>
            <w:r w:rsidRPr="00BD6900">
              <w:br/>
              <w:t>240 wor</w:t>
            </w:r>
            <w:r w:rsidRPr="00BD6900">
              <w:t>k placement hours</w:t>
            </w:r>
          </w:p>
          <w:p w:rsidR="00000000" w:rsidRPr="00BD6900" w:rsidP="00BD6900">
            <w:pPr>
              <w:pStyle w:val="BodyText"/>
            </w:pPr>
            <w:r w:rsidRPr="00BD6900">
              <w:t>Supersedes HLTDP602D</w:t>
            </w:r>
          </w:p>
        </w:tc>
      </w:tr>
    </w:tbl>
    <w:p w:rsidR="00000000" w:rsidRPr="00BD6900" w:rsidP="00BD6900">
      <w:pPr>
        <w:pStyle w:val="BodyText"/>
      </w:pPr>
    </w:p>
    <w:p w:rsidR="00000000" w:rsidRPr="00BD6900" w:rsidP="00BD6900">
      <w:pPr>
        <w:pStyle w:val="AllowPageBreak"/>
      </w:pPr>
    </w:p>
    <w:p w:rsidR="00000000" w:rsidRPr="00BD6900" w:rsidP="00BD6900">
      <w:pPr>
        <w:pStyle w:val="Heading1"/>
      </w:pPr>
      <w:bookmarkStart w:id="2" w:name="O_819441"/>
      <w:bookmarkEnd w:id="2"/>
      <w:r w:rsidRPr="00BD6900">
        <w:t>Performance Evidence</w:t>
      </w:r>
    </w:p>
    <w:p w:rsidR="00000000" w:rsidRPr="00BD6900" w:rsidP="00D627B5">
      <w:pPr>
        <w:pStyle w:val="BodyText"/>
      </w:pPr>
      <w:r w:rsidRPr="00BD6900">
        <w:t>The candidate must show evidence of the ability to complete tasks outlined in elements and performance criteria of this unit, manage tasks and manage contingencies in the contex</w:t>
      </w:r>
      <w:r w:rsidRPr="00BD6900">
        <w:t>t of the job role. There must be evidence that the candidate has completed the following tasks:</w:t>
      </w:r>
    </w:p>
    <w:p w:rsidR="00000000" w:rsidRPr="00BD6900" w:rsidP="00BD6900">
      <w:pPr>
        <w:pStyle w:val="List"/>
      </w:pPr>
      <w:r w:rsidRPr="00BD6900">
        <w:t>•</w:t>
      </w:r>
      <w:r w:rsidRPr="00BD6900">
        <w:tab/>
        <w:t>performed the activities outlined in the performance criteria of this unit during a period of at least 240 hours of work in a clinical dental workplace enviro</w:t>
      </w:r>
      <w:r w:rsidRPr="00BD6900">
        <w:t xml:space="preserve">nment </w:t>
      </w:r>
    </w:p>
    <w:p w:rsidR="00000000" w:rsidRPr="00BD6900" w:rsidP="00BD6900">
      <w:pPr>
        <w:pStyle w:val="List"/>
      </w:pPr>
      <w:r w:rsidRPr="00BD6900">
        <w:t>•</w:t>
      </w:r>
      <w:r w:rsidRPr="00BD6900">
        <w:tab/>
        <w:t>followed procedures to ensure patient safety during examinations</w:t>
      </w:r>
    </w:p>
    <w:p w:rsidR="00000000" w:rsidRPr="00BD6900" w:rsidP="00BD6900">
      <w:pPr>
        <w:pStyle w:val="List"/>
      </w:pPr>
      <w:r w:rsidRPr="00BD6900">
        <w:t>•</w:t>
      </w:r>
      <w:r w:rsidRPr="00BD6900">
        <w:tab/>
        <w:t>performed an intra-oral and an extra-oral examination on at least 4 patients</w:t>
      </w:r>
    </w:p>
    <w:p w:rsidR="00000000" w:rsidRPr="00BD6900" w:rsidP="00BD6900">
      <w:pPr>
        <w:pStyle w:val="List"/>
      </w:pPr>
      <w:r w:rsidRPr="00BD6900">
        <w:t>•</w:t>
      </w:r>
      <w:r w:rsidRPr="00BD6900">
        <w:tab/>
        <w:t>communicated effectively, interactively, respectfully and reflectively with patients in a manner that</w:t>
      </w:r>
      <w:r w:rsidRPr="00BD6900">
        <w:t xml:space="preserve"> takes into account factors such as their age, intellectual development and social and cultural background</w:t>
      </w:r>
    </w:p>
    <w:p w:rsidR="00000000" w:rsidRPr="00BD6900" w:rsidP="00BD6900">
      <w:pPr>
        <w:pStyle w:val="List"/>
      </w:pPr>
      <w:r w:rsidRPr="00BD6900">
        <w:t>•</w:t>
      </w:r>
      <w:r w:rsidRPr="00BD6900">
        <w:tab/>
        <w:t>explained the treatment plan and the limitations of treatment for 4 patients using language that is easily understood by the patient</w:t>
      </w:r>
    </w:p>
    <w:p w:rsidR="00D627B5" w:rsidP="00BD6900">
      <w:pPr>
        <w:pStyle w:val="List"/>
      </w:pPr>
      <w:r w:rsidRPr="00BD6900">
        <w:t>•</w:t>
      </w:r>
      <w:r w:rsidRPr="00BD6900">
        <w:tab/>
        <w:t>maintained l</w:t>
      </w:r>
      <w:r w:rsidRPr="00BD6900">
        <w:t>egible and accurate maintenance records for 4 different patients.</w:t>
      </w:r>
    </w:p>
    <w:p w:rsidR="00D627B5" w:rsidP="00BD6900">
      <w:pPr>
        <w:pStyle w:val="List"/>
      </w:pPr>
    </w:p>
    <w:p w:rsidR="00000000" w:rsidRPr="00BD6900" w:rsidP="00BD6900">
      <w:pPr>
        <w:pStyle w:val="Heading1"/>
      </w:pPr>
      <w:bookmarkStart w:id="3" w:name="O_819442"/>
      <w:bookmarkEnd w:id="3"/>
      <w:r w:rsidRPr="00BD6900">
        <w:t>Knowledge Evidence</w:t>
      </w:r>
    </w:p>
    <w:p w:rsidR="00000000" w:rsidRPr="00BD6900" w:rsidP="00D627B5">
      <w:pPr>
        <w:pStyle w:val="BodyText"/>
      </w:pPr>
      <w:r w:rsidRPr="00BD6900">
        <w:t xml:space="preserve">The candidate must be able to demonstrate essential knowledge required to effectively complete tasks outlined in elements and performance criteria of </w:t>
      </w:r>
      <w:r w:rsidRPr="00BD6900">
        <w:t>this unit, manage the task and manage contingencies in the context of the work role. This includes knowledge of:</w:t>
      </w:r>
    </w:p>
    <w:p w:rsidR="00000000" w:rsidRPr="00BD6900" w:rsidP="00BD6900">
      <w:pPr>
        <w:pStyle w:val="List"/>
      </w:pPr>
      <w:r w:rsidRPr="00BD6900">
        <w:t>•</w:t>
      </w:r>
      <w:r w:rsidRPr="00BD6900">
        <w:tab/>
        <w:t>Australian/New Zealand Standards, workplace health and safety (WHS) policies, current Dental Board of Australia infection control guidelines,</w:t>
      </w:r>
      <w:r w:rsidRPr="00BD6900">
        <w:t xml:space="preserve"> Commonwealth and State/Territory legislation requirements, and organisation policies and procedures relating to dental laboratory work</w:t>
      </w:r>
    </w:p>
    <w:p w:rsidR="00000000" w:rsidRPr="00BD6900" w:rsidP="00BD6900">
      <w:pPr>
        <w:pStyle w:val="List"/>
      </w:pPr>
      <w:r w:rsidRPr="00BD6900">
        <w:t>•</w:t>
      </w:r>
      <w:r w:rsidRPr="00BD6900">
        <w:tab/>
        <w:t>relevance of medical conditions and medications that can impact on oral health or make the provision of dental treatme</w:t>
      </w:r>
      <w:r w:rsidRPr="00BD6900">
        <w:t>nt unsafe national and State/Territory legal and ethical requirements and considerations for dental assisting work including:</w:t>
      </w:r>
    </w:p>
    <w:p w:rsidR="00000000" w:rsidRPr="00BD6900" w:rsidP="00BD6900">
      <w:pPr>
        <w:pStyle w:val="List2"/>
      </w:pPr>
      <w:r w:rsidRPr="00BD6900">
        <w:t>­</w:t>
      </w:r>
      <w:r w:rsidRPr="00BD6900">
        <w:tab/>
        <w:t>codes of practice</w:t>
      </w:r>
    </w:p>
    <w:p w:rsidR="00000000" w:rsidRPr="00BD6900" w:rsidP="00BD6900">
      <w:pPr>
        <w:pStyle w:val="List2"/>
      </w:pPr>
      <w:r w:rsidRPr="00BD6900">
        <w:t>­</w:t>
      </w:r>
      <w:r w:rsidRPr="00BD6900">
        <w:tab/>
        <w:t>discrimination</w:t>
      </w:r>
    </w:p>
    <w:p w:rsidR="00000000" w:rsidRPr="00BD6900" w:rsidP="00BD6900">
      <w:pPr>
        <w:pStyle w:val="List2"/>
      </w:pPr>
      <w:r w:rsidRPr="00BD6900">
        <w:t>­</w:t>
      </w:r>
      <w:r w:rsidRPr="00BD6900">
        <w:tab/>
        <w:t>duty of care</w:t>
      </w:r>
    </w:p>
    <w:p w:rsidR="00000000" w:rsidRPr="00BD6900" w:rsidP="00BD6900">
      <w:pPr>
        <w:pStyle w:val="List2"/>
      </w:pPr>
      <w:r>
        <w:t>•</w:t>
      </w:r>
      <w:r>
        <w:tab/>
      </w:r>
      <w:r w:rsidRPr="00BD6900">
        <w:t>informed consent and statutory requirements of consent</w:t>
      </w:r>
    </w:p>
    <w:p w:rsidR="00000000" w:rsidRPr="00BD6900" w:rsidP="00BD6900">
      <w:pPr>
        <w:pStyle w:val="List2"/>
      </w:pPr>
      <w:r w:rsidRPr="00BD6900">
        <w:t>­</w:t>
      </w:r>
      <w:r w:rsidRPr="00BD6900">
        <w:tab/>
        <w:t>privacy, confidenti</w:t>
      </w:r>
      <w:r w:rsidRPr="00BD6900">
        <w:t>ality and disclosure</w:t>
      </w:r>
    </w:p>
    <w:p w:rsidR="00000000" w:rsidRPr="00BD6900" w:rsidP="00BD6900">
      <w:pPr>
        <w:pStyle w:val="List2"/>
      </w:pPr>
      <w:r w:rsidRPr="00BD6900">
        <w:t>­</w:t>
      </w:r>
      <w:r w:rsidRPr="00BD6900">
        <w:tab/>
        <w:t>records management</w:t>
      </w:r>
    </w:p>
    <w:p w:rsidR="00000000" w:rsidRPr="00BD6900" w:rsidP="00BD6900">
      <w:pPr>
        <w:pStyle w:val="List2"/>
      </w:pPr>
      <w:r w:rsidRPr="00BD6900">
        <w:t>­</w:t>
      </w:r>
      <w:r w:rsidRPr="00BD6900">
        <w:tab/>
        <w:t>work role boundaries – responsibilities and limitations</w:t>
      </w:r>
    </w:p>
    <w:p w:rsidR="00000000" w:rsidRPr="00BD6900" w:rsidP="00BD6900">
      <w:pPr>
        <w:pStyle w:val="List2"/>
      </w:pPr>
      <w:r w:rsidRPr="00BD6900">
        <w:t>­</w:t>
      </w:r>
      <w:r w:rsidRPr="00BD6900">
        <w:tab/>
        <w:t>work health and safety</w:t>
      </w:r>
    </w:p>
    <w:p w:rsidR="00000000" w:rsidRPr="00BD6900" w:rsidP="00BD6900">
      <w:pPr>
        <w:pStyle w:val="List"/>
      </w:pPr>
      <w:r w:rsidRPr="00BD6900">
        <w:t>•</w:t>
      </w:r>
      <w:r w:rsidRPr="00BD6900">
        <w:tab/>
        <w:t>oral pathology, including:</w:t>
      </w:r>
    </w:p>
    <w:p w:rsidR="00000000" w:rsidRPr="00BD6900" w:rsidP="00BD6900">
      <w:pPr>
        <w:pStyle w:val="List2"/>
      </w:pPr>
      <w:r>
        <w:t>•</w:t>
      </w:r>
      <w:r>
        <w:tab/>
      </w:r>
      <w:r w:rsidRPr="00BD6900">
        <w:t>benign lesions of bone</w:t>
      </w:r>
    </w:p>
    <w:p w:rsidR="00000000" w:rsidRPr="00BD6900" w:rsidP="00BD6900">
      <w:pPr>
        <w:pStyle w:val="List2"/>
      </w:pPr>
      <w:r>
        <w:t>•</w:t>
      </w:r>
      <w:r>
        <w:tab/>
      </w:r>
      <w:r w:rsidRPr="00BD6900">
        <w:t>dental caries and periodontal disease</w:t>
      </w:r>
    </w:p>
    <w:p w:rsidR="00000000" w:rsidRPr="00BD6900" w:rsidP="00BD6900">
      <w:pPr>
        <w:pStyle w:val="List2"/>
      </w:pPr>
      <w:r>
        <w:t>•</w:t>
      </w:r>
      <w:r>
        <w:tab/>
      </w:r>
      <w:r w:rsidRPr="00BD6900">
        <w:t>infectious diseases including bacte</w:t>
      </w:r>
      <w:r w:rsidRPr="00BD6900">
        <w:t>rial, fungal and viral infections</w:t>
      </w:r>
    </w:p>
    <w:p w:rsidR="00000000" w:rsidRPr="00BD6900" w:rsidP="00BD6900">
      <w:pPr>
        <w:pStyle w:val="List2"/>
      </w:pPr>
      <w:r>
        <w:t>•</w:t>
      </w:r>
      <w:r>
        <w:tab/>
      </w:r>
      <w:r w:rsidRPr="00BD6900">
        <w:t>inflammation</w:t>
      </w:r>
    </w:p>
    <w:p w:rsidR="00000000" w:rsidRPr="00BD6900" w:rsidP="00BD6900">
      <w:pPr>
        <w:pStyle w:val="List2"/>
      </w:pPr>
      <w:r>
        <w:t>•</w:t>
      </w:r>
      <w:r>
        <w:tab/>
      </w:r>
      <w:r w:rsidRPr="00BD6900">
        <w:t>oral cancer</w:t>
      </w:r>
    </w:p>
    <w:p w:rsidR="00000000" w:rsidRPr="00BD6900" w:rsidP="00BD6900">
      <w:pPr>
        <w:pStyle w:val="List2"/>
      </w:pPr>
      <w:r>
        <w:t>•</w:t>
      </w:r>
      <w:r>
        <w:tab/>
      </w:r>
      <w:r w:rsidRPr="00BD6900">
        <w:t>pathology of dental caries and periodontal disease</w:t>
      </w:r>
    </w:p>
    <w:p w:rsidR="00000000" w:rsidRPr="00BD6900" w:rsidP="00BD6900">
      <w:pPr>
        <w:pStyle w:val="List2"/>
      </w:pPr>
      <w:r>
        <w:t>•</w:t>
      </w:r>
      <w:r>
        <w:tab/>
      </w:r>
      <w:r w:rsidRPr="00BD6900">
        <w:t>physical injuries to soft tissue including burns and ulceration</w:t>
      </w:r>
    </w:p>
    <w:p w:rsidR="00000000" w:rsidRPr="00BD6900" w:rsidP="00BD6900">
      <w:pPr>
        <w:pStyle w:val="List2"/>
      </w:pPr>
      <w:r>
        <w:t>•</w:t>
      </w:r>
      <w:r>
        <w:tab/>
      </w:r>
      <w:r w:rsidRPr="00BD6900">
        <w:t>reactive connective tissue including hyperplasia</w:t>
      </w:r>
    </w:p>
    <w:p w:rsidR="00000000" w:rsidRPr="00BD6900" w:rsidP="00BD6900">
      <w:pPr>
        <w:pStyle w:val="List2"/>
      </w:pPr>
      <w:r>
        <w:t>•</w:t>
      </w:r>
      <w:r>
        <w:tab/>
      </w:r>
      <w:r w:rsidRPr="00BD6900">
        <w:t>regeneration and repa</w:t>
      </w:r>
      <w:r w:rsidRPr="00BD6900">
        <w:t>ir</w:t>
      </w:r>
    </w:p>
    <w:p w:rsidR="00000000" w:rsidRPr="00BD6900" w:rsidP="00BD6900">
      <w:pPr>
        <w:pStyle w:val="List2"/>
      </w:pPr>
      <w:r>
        <w:t>•</w:t>
      </w:r>
      <w:r>
        <w:tab/>
      </w:r>
      <w:r w:rsidRPr="00BD6900">
        <w:t>signs and symptoms of infectious diseases that affect the oral cavity including oral fungal and bacterial infections</w:t>
      </w:r>
    </w:p>
    <w:p w:rsidR="00000000" w:rsidRPr="00BD6900" w:rsidP="00BD6900">
      <w:pPr>
        <w:pStyle w:val="List2"/>
      </w:pPr>
      <w:r>
        <w:t>•</w:t>
      </w:r>
      <w:r>
        <w:tab/>
      </w:r>
      <w:r w:rsidRPr="00BD6900">
        <w:t>the causes of dental caries and periodontal disease</w:t>
      </w:r>
    </w:p>
    <w:p w:rsidR="00000000" w:rsidRPr="00BD6900" w:rsidP="00BD6900">
      <w:pPr>
        <w:pStyle w:val="List2"/>
      </w:pPr>
      <w:r>
        <w:t>•</w:t>
      </w:r>
      <w:r>
        <w:tab/>
      </w:r>
      <w:r w:rsidRPr="00BD6900">
        <w:t>the role of bacteria, diet and dental plaque</w:t>
      </w:r>
    </w:p>
    <w:p w:rsidR="00000000" w:rsidRPr="00BD6900" w:rsidP="00BD6900">
      <w:pPr>
        <w:pStyle w:val="List"/>
      </w:pPr>
      <w:r w:rsidRPr="00BD6900">
        <w:t>•</w:t>
      </w:r>
      <w:r w:rsidRPr="00BD6900">
        <w:tab/>
      </w:r>
      <w:r w:rsidRPr="00BD6900">
        <w:t>considerations when using dental and medical records and charts including:</w:t>
      </w:r>
    </w:p>
    <w:p w:rsidR="00000000" w:rsidRPr="00BD6900" w:rsidP="00BD6900">
      <w:pPr>
        <w:pStyle w:val="List2"/>
      </w:pPr>
      <w:r>
        <w:t>•</w:t>
      </w:r>
      <w:r>
        <w:tab/>
      </w:r>
      <w:r w:rsidRPr="00BD6900">
        <w:t>confidentiality of patient records</w:t>
      </w:r>
    </w:p>
    <w:p w:rsidR="00000000" w:rsidRPr="00BD6900" w:rsidP="00BD6900">
      <w:pPr>
        <w:pStyle w:val="List2"/>
      </w:pPr>
      <w:r>
        <w:t>•</w:t>
      </w:r>
      <w:r>
        <w:tab/>
      </w:r>
      <w:r w:rsidRPr="00BD6900">
        <w:t>notation systems and charting symbols for tooth surfaces, cavities and other dental problems in accordance with codes and guidelines</w:t>
      </w:r>
    </w:p>
    <w:p w:rsidR="00000000" w:rsidRPr="00BD6900" w:rsidP="00BD6900">
      <w:pPr>
        <w:pStyle w:val="List2"/>
      </w:pPr>
      <w:r>
        <w:t>•</w:t>
      </w:r>
      <w:r>
        <w:tab/>
      </w:r>
      <w:r w:rsidRPr="00BD6900">
        <w:t>items t</w:t>
      </w:r>
      <w:r w:rsidRPr="00BD6900">
        <w:t>hat constitute a dental record</w:t>
      </w:r>
    </w:p>
    <w:p w:rsidR="00000000" w:rsidRPr="00BD6900" w:rsidP="00BD6900">
      <w:pPr>
        <w:pStyle w:val="List2"/>
      </w:pPr>
      <w:r>
        <w:t>•</w:t>
      </w:r>
      <w:r>
        <w:tab/>
      </w:r>
      <w:r w:rsidRPr="00BD6900">
        <w:t>knowledge of correct dental terminology and how it is used in dental charting</w:t>
      </w:r>
    </w:p>
    <w:p w:rsidR="00000000" w:rsidRPr="00BD6900" w:rsidP="00BD6900">
      <w:pPr>
        <w:pStyle w:val="List2"/>
      </w:pPr>
      <w:r>
        <w:t>•</w:t>
      </w:r>
      <w:r>
        <w:tab/>
      </w:r>
      <w:r w:rsidRPr="00BD6900">
        <w:t>the purpose and requirements for maintaining accurate records of examination, treatments, materials used and drugs and medicaments prescribed</w:t>
      </w:r>
    </w:p>
    <w:p w:rsidR="00000000" w:rsidRPr="00BD6900" w:rsidP="00BD6900">
      <w:pPr>
        <w:pStyle w:val="List2"/>
      </w:pPr>
      <w:r>
        <w:t>•</w:t>
      </w:r>
      <w:r>
        <w:tab/>
      </w:r>
      <w:r w:rsidRPr="00BD6900">
        <w:t>the reasons for taking radiographs and photograph</w:t>
      </w:r>
    </w:p>
    <w:p w:rsidR="00000000" w:rsidRPr="00BD6900" w:rsidP="00BD6900">
      <w:pPr>
        <w:pStyle w:val="List"/>
      </w:pPr>
      <w:r w:rsidRPr="00BD6900">
        <w:t>•</w:t>
      </w:r>
      <w:r w:rsidRPr="00BD6900">
        <w:tab/>
        <w:t>components of intra-oral and extra-oral examination</w:t>
      </w:r>
    </w:p>
    <w:p w:rsidR="00000000" w:rsidRPr="00BD6900" w:rsidP="00BD6900">
      <w:pPr>
        <w:pStyle w:val="List"/>
      </w:pPr>
      <w:r w:rsidRPr="00BD6900">
        <w:t>•</w:t>
      </w:r>
      <w:r w:rsidRPr="00BD6900">
        <w:tab/>
        <w:t>retracting soft tissues and moisture control:</w:t>
      </w:r>
    </w:p>
    <w:p w:rsidR="00000000" w:rsidRPr="00BD6900" w:rsidP="00BD6900">
      <w:pPr>
        <w:pStyle w:val="List2"/>
      </w:pPr>
      <w:r>
        <w:t>•</w:t>
      </w:r>
      <w:r>
        <w:tab/>
      </w:r>
      <w:r w:rsidRPr="00BD6900">
        <w:t>methods of retracting and protecting soft tissue</w:t>
      </w:r>
    </w:p>
    <w:p w:rsidR="00000000" w:rsidRPr="00BD6900" w:rsidP="00BD6900">
      <w:pPr>
        <w:pStyle w:val="List2"/>
      </w:pPr>
      <w:r>
        <w:t>•</w:t>
      </w:r>
      <w:r>
        <w:tab/>
      </w:r>
      <w:r w:rsidRPr="00BD6900">
        <w:t>methods for providing a clear field of vision</w:t>
      </w:r>
    </w:p>
    <w:p w:rsidR="00000000" w:rsidRPr="00BD6900" w:rsidP="00BD6900">
      <w:pPr>
        <w:pStyle w:val="List2"/>
      </w:pPr>
      <w:r>
        <w:t>•</w:t>
      </w:r>
      <w:r>
        <w:tab/>
      </w:r>
      <w:r w:rsidRPr="00BD6900">
        <w:t>me</w:t>
      </w:r>
      <w:r w:rsidRPr="00BD6900">
        <w:t>thods for controlling moisture</w:t>
      </w:r>
    </w:p>
    <w:p w:rsidR="00000000" w:rsidRPr="00BD6900" w:rsidP="00BD6900">
      <w:pPr>
        <w:pStyle w:val="List"/>
      </w:pPr>
      <w:r w:rsidRPr="00BD6900">
        <w:t>•</w:t>
      </w:r>
      <w:r w:rsidRPr="00BD6900">
        <w:tab/>
        <w:t>normal variance of structure and function of dental prosthetic devices</w:t>
      </w:r>
    </w:p>
    <w:p w:rsidR="00000000" w:rsidRPr="00BD6900" w:rsidP="00BD6900">
      <w:pPr>
        <w:pStyle w:val="List"/>
      </w:pPr>
      <w:r w:rsidRPr="00BD6900">
        <w:t>•</w:t>
      </w:r>
      <w:r w:rsidRPr="00BD6900">
        <w:tab/>
        <w:t xml:space="preserve">procedures and rationale for referral </w:t>
      </w:r>
    </w:p>
    <w:p w:rsidR="00000000" w:rsidRPr="00BD6900" w:rsidP="00BD6900">
      <w:pPr>
        <w:pStyle w:val="List"/>
      </w:pPr>
      <w:r w:rsidRPr="00BD6900">
        <w:t>•</w:t>
      </w:r>
      <w:r w:rsidRPr="00BD6900">
        <w:tab/>
        <w:t>specific considerations when dealing with patients who are elderly or aged, including:</w:t>
      </w:r>
    </w:p>
    <w:p w:rsidR="00000000" w:rsidRPr="00BD6900" w:rsidP="00BD6900">
      <w:pPr>
        <w:pStyle w:val="List2"/>
      </w:pPr>
      <w:r>
        <w:t>•</w:t>
      </w:r>
      <w:r>
        <w:tab/>
      </w:r>
      <w:r w:rsidRPr="00BD6900">
        <w:t>fundamental knowledg</w:t>
      </w:r>
      <w:r w:rsidRPr="00BD6900">
        <w:t>e of systemic disease including angina, congestive heart failure, stroke, Parkinson’s disease, diabetes, osteoporosis, arthritis, nutritional deficiencies</w:t>
      </w:r>
    </w:p>
    <w:p w:rsidR="00000000" w:rsidRPr="00BD6900" w:rsidP="00BD6900">
      <w:pPr>
        <w:pStyle w:val="List2"/>
      </w:pPr>
      <w:r>
        <w:t>•</w:t>
      </w:r>
      <w:r>
        <w:tab/>
      </w:r>
      <w:r w:rsidRPr="00BD6900">
        <w:t>fundamental knowledge of the relationship between nutrition and the efficiency of the dentition</w:t>
      </w:r>
    </w:p>
    <w:p w:rsidR="00000000" w:rsidRPr="00BD6900" w:rsidP="00BD6900">
      <w:pPr>
        <w:pStyle w:val="List2"/>
      </w:pPr>
      <w:r>
        <w:t>•</w:t>
      </w:r>
      <w:r>
        <w:tab/>
      </w:r>
      <w:r w:rsidRPr="00BD6900">
        <w:t>p</w:t>
      </w:r>
      <w:r w:rsidRPr="00BD6900">
        <w:t xml:space="preserve">sychological changes </w:t>
      </w:r>
    </w:p>
    <w:p w:rsidR="00000000" w:rsidRPr="00BD6900" w:rsidP="00BD6900">
      <w:pPr>
        <w:pStyle w:val="List2"/>
      </w:pPr>
      <w:r>
        <w:t>•</w:t>
      </w:r>
      <w:r>
        <w:tab/>
      </w:r>
      <w:r w:rsidRPr="00BD6900">
        <w:t>xerostomia produced by certain medications and its adverse effects on denture retention and comfort</w:t>
      </w:r>
    </w:p>
    <w:p w:rsidR="00000000" w:rsidRPr="00BD6900" w:rsidP="00BD6900">
      <w:pPr>
        <w:pStyle w:val="List"/>
      </w:pPr>
      <w:r w:rsidRPr="00BD6900">
        <w:t>•</w:t>
      </w:r>
      <w:r w:rsidRPr="00BD6900">
        <w:tab/>
        <w:t>cultural issues which may affect dental examinations and treatment.</w:t>
      </w:r>
    </w:p>
    <w:p w:rsidR="00000000" w:rsidRPr="00BD6900" w:rsidP="00BD6900">
      <w:pPr>
        <w:pStyle w:val="AllowPageBreak"/>
      </w:pPr>
    </w:p>
    <w:p w:rsidR="00000000" w:rsidRPr="00BD6900" w:rsidP="00BD6900">
      <w:pPr>
        <w:pStyle w:val="Heading1"/>
      </w:pPr>
      <w:bookmarkStart w:id="4" w:name="O_819443"/>
      <w:bookmarkEnd w:id="4"/>
      <w:r w:rsidRPr="00BD6900">
        <w:t>Assessment Conditions</w:t>
      </w:r>
    </w:p>
    <w:p w:rsidR="00000000" w:rsidRPr="00BD6900" w:rsidP="00D627B5">
      <w:pPr>
        <w:pStyle w:val="BodyText"/>
      </w:pPr>
      <w:r w:rsidRPr="00BD6900">
        <w:t>Skills must have been d</w:t>
      </w:r>
      <w:r w:rsidRPr="00BD6900">
        <w:t>emonstrated in the dental workplace with the addition of simulations and scenarios where the full range of contexts and situations cannot be provided in the workplace. The following conditions must be met for this unit:</w:t>
      </w:r>
    </w:p>
    <w:p w:rsidR="00000000" w:rsidRPr="00BD6900" w:rsidP="00BD6900">
      <w:pPr>
        <w:pStyle w:val="List"/>
      </w:pPr>
      <w:r w:rsidRPr="00BD6900">
        <w:t>•</w:t>
      </w:r>
      <w:r w:rsidRPr="00BD6900">
        <w:tab/>
        <w:t>use of suitable facilities, equipm</w:t>
      </w:r>
      <w:r w:rsidRPr="00BD6900">
        <w:t>ent and resources, including:</w:t>
      </w:r>
    </w:p>
    <w:p w:rsidR="00000000" w:rsidRPr="00BD6900" w:rsidP="00BD6900">
      <w:pPr>
        <w:pStyle w:val="List2"/>
      </w:pPr>
      <w:r>
        <w:t>•</w:t>
      </w:r>
      <w:r>
        <w:tab/>
      </w:r>
      <w:r w:rsidRPr="00BD6900">
        <w:t>dental and medical records and charts</w:t>
      </w:r>
    </w:p>
    <w:p w:rsidR="00000000" w:rsidRPr="00BD6900" w:rsidP="00BD6900">
      <w:pPr>
        <w:pStyle w:val="List2"/>
      </w:pPr>
      <w:r>
        <w:t>•</w:t>
      </w:r>
      <w:r>
        <w:tab/>
      </w:r>
      <w:r w:rsidRPr="00BD6900">
        <w:t>personal protective equipment</w:t>
      </w:r>
    </w:p>
    <w:p w:rsidR="00000000" w:rsidRPr="00BD6900" w:rsidP="00BD6900">
      <w:pPr>
        <w:pStyle w:val="List2"/>
      </w:pPr>
      <w:r>
        <w:t>•</w:t>
      </w:r>
      <w:r>
        <w:tab/>
      </w:r>
      <w:r w:rsidRPr="00BD6900">
        <w:t>Dental Board of Australia guidelines on infection control on which the candidate bases the planning process</w:t>
      </w:r>
    </w:p>
    <w:p w:rsidR="00000000" w:rsidRPr="00BD6900" w:rsidP="00BD6900">
      <w:pPr>
        <w:pStyle w:val="List"/>
      </w:pPr>
      <w:r w:rsidRPr="00BD6900">
        <w:t>•</w:t>
      </w:r>
      <w:r w:rsidRPr="00BD6900">
        <w:tab/>
        <w:t>modelling of indu</w:t>
      </w:r>
      <w:r w:rsidRPr="00BD6900">
        <w:t xml:space="preserve">stry operating conditions including access to real people for simulations and scenarios of prosthetic procedures. </w:t>
      </w:r>
    </w:p>
    <w:p w:rsidR="00000000" w:rsidRPr="00BD6900" w:rsidP="00BD6900">
      <w:pPr>
        <w:pStyle w:val="BodyText"/>
      </w:pPr>
    </w:p>
    <w:p w:rsidR="00D627B5" w:rsidP="00D627B5">
      <w:pPr>
        <w:pStyle w:val="BodyText"/>
      </w:pPr>
      <w:r w:rsidRPr="00BD6900">
        <w:t>Assessors must satisfy the Standards for Registered Training Organisations (RTOs) 2015/AQTF mandatory competency requirements for assessors.</w:t>
      </w:r>
    </w:p>
    <w:p w:rsidR="00000000" w:rsidRPr="00BD6900" w:rsidP="00BD6900">
      <w:pPr>
        <w:pStyle w:val="Heading1"/>
      </w:pPr>
      <w:bookmarkStart w:id="5" w:name="O_819446"/>
      <w:bookmarkEnd w:id="5"/>
      <w:r w:rsidRPr="00BD6900">
        <w:t>Links</w:t>
      </w:r>
    </w:p>
    <w:p w:rsidR="00000000" w:rsidRPr="00BD6900" w:rsidP="00D627B5">
      <w:pPr>
        <w:pStyle w:val="BodyText"/>
      </w:pPr>
      <w:r w:rsidRPr="00BD690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67E92">
        <w:rPr>
          <w:rStyle w:val="Hyperlink"/>
        </w:rPr>
        <w:t>https://vetnet.gov.au/Pages/TrainingDocs.aspx?q=ced1390f-48d9-4ab0-bd50-b015e5485705</w:t>
      </w:r>
      <w:r>
        <w:fldChar w:fldCharType="end"/>
      </w:r>
    </w:p>
    <w:p w:rsidR="00000000" w:rsidRPr="00BD6900" w:rsidP="00BD6900"/>
    <w:sectPr w:rsidSect="00BD69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900" w:rsidRPr="00D627B5" w:rsidP="00D627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7B5" w:rsidP="00BD6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27B5" w:rsidP="00BD69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627B5" w:rsidP="00BD6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7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900" w:rsidRPr="00D627B5" w:rsidP="00D627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7B5" w:rsidRPr="002D2AF8" w:rsidP="00BD6900">
    <w:pPr>
      <w:pStyle w:val="Header"/>
      <w:framePr w:wrap="around"/>
    </w:pPr>
    <w:r>
      <w:fldChar w:fldCharType="begin"/>
    </w:r>
    <w:r>
      <w:instrText xml:space="preserve"> TITLE   \* MERGEFORMAT </w:instrText>
    </w:r>
    <w:r>
      <w:fldChar w:fldCharType="separate"/>
    </w:r>
    <w:r>
      <w:t>Assessment Requirements for HLTDEP002 Gather data, conduct dental prosthetic examination and develop treatment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627B5" w:rsidP="00BD6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900"/>
    <w:pPr>
      <w:spacing w:before="360" w:after="60"/>
      <w:outlineLvl w:val="0"/>
    </w:pPr>
    <w:rPr>
      <w:sz w:val="32"/>
    </w:rPr>
  </w:style>
  <w:style w:type="paragraph" w:styleId="Heading2">
    <w:name w:val="heading 2"/>
    <w:basedOn w:val="HeadingBase"/>
    <w:next w:val="BodyText"/>
    <w:link w:val="Heading2Char"/>
    <w:qFormat/>
    <w:rsid w:val="00BD6900"/>
    <w:pPr>
      <w:keepLines/>
      <w:spacing w:before="240" w:after="120"/>
      <w:outlineLvl w:val="1"/>
    </w:pPr>
    <w:rPr>
      <w:sz w:val="28"/>
      <w:szCs w:val="40"/>
    </w:rPr>
  </w:style>
  <w:style w:type="paragraph" w:styleId="Heading3">
    <w:name w:val="heading 3"/>
    <w:basedOn w:val="HeadingBase"/>
    <w:next w:val="BodyText"/>
    <w:link w:val="Heading3Char"/>
    <w:qFormat/>
    <w:rsid w:val="00BD6900"/>
    <w:pPr>
      <w:spacing w:before="180" w:after="120"/>
      <w:outlineLvl w:val="2"/>
    </w:pPr>
    <w:rPr>
      <w:spacing w:val="-10"/>
      <w:kern w:val="32"/>
    </w:rPr>
  </w:style>
  <w:style w:type="paragraph" w:styleId="Heading4">
    <w:name w:val="heading 4"/>
    <w:basedOn w:val="HeadingBase"/>
    <w:next w:val="BodyText"/>
    <w:link w:val="Heading4Char"/>
    <w:qFormat/>
    <w:rsid w:val="00BD6900"/>
    <w:pPr>
      <w:spacing w:before="160" w:after="120"/>
      <w:outlineLvl w:val="3"/>
    </w:pPr>
    <w:rPr>
      <w:sz w:val="22"/>
    </w:rPr>
  </w:style>
  <w:style w:type="paragraph" w:styleId="Heading5">
    <w:name w:val="heading 5"/>
    <w:basedOn w:val="HeadingBase"/>
    <w:next w:val="Normal"/>
    <w:link w:val="Heading5Char"/>
    <w:qFormat/>
    <w:rsid w:val="00BD6900"/>
    <w:pPr>
      <w:spacing w:before="80"/>
      <w:outlineLvl w:val="4"/>
    </w:pPr>
    <w:rPr>
      <w:color w:val="918585"/>
      <w:sz w:val="20"/>
    </w:rPr>
  </w:style>
  <w:style w:type="paragraph" w:styleId="Heading6">
    <w:name w:val="heading 6"/>
    <w:basedOn w:val="HeadingBase"/>
    <w:next w:val="Normal"/>
    <w:link w:val="Heading6Char"/>
    <w:qFormat/>
    <w:rsid w:val="00BD6900"/>
    <w:pPr>
      <w:spacing w:before="60"/>
      <w:outlineLvl w:val="5"/>
    </w:pPr>
    <w:rPr>
      <w:color w:val="918585"/>
      <w:sz w:val="20"/>
    </w:rPr>
  </w:style>
  <w:style w:type="paragraph" w:styleId="Heading7">
    <w:name w:val="heading 7"/>
    <w:basedOn w:val="Normal"/>
    <w:next w:val="Normal"/>
    <w:link w:val="Heading7Char"/>
    <w:qFormat/>
    <w:rsid w:val="00BD6900"/>
    <w:pPr>
      <w:ind w:left="720"/>
      <w:outlineLvl w:val="6"/>
    </w:pPr>
    <w:rPr>
      <w:i/>
    </w:rPr>
  </w:style>
  <w:style w:type="paragraph" w:styleId="Heading8">
    <w:name w:val="heading 8"/>
    <w:basedOn w:val="Normal"/>
    <w:next w:val="Normal"/>
    <w:link w:val="Heading8Char"/>
    <w:qFormat/>
    <w:rsid w:val="00BD6900"/>
    <w:pPr>
      <w:ind w:left="720"/>
      <w:outlineLvl w:val="7"/>
    </w:pPr>
    <w:rPr>
      <w:i/>
    </w:rPr>
  </w:style>
  <w:style w:type="paragraph" w:styleId="Heading9">
    <w:name w:val="heading 9"/>
    <w:basedOn w:val="Normal"/>
    <w:next w:val="Normal"/>
    <w:link w:val="Heading9Char"/>
    <w:qFormat/>
    <w:rsid w:val="00BD6900"/>
    <w:pPr>
      <w:ind w:left="720"/>
      <w:outlineLvl w:val="8"/>
    </w:pPr>
    <w:rPr>
      <w:i/>
    </w:rPr>
  </w:style>
  <w:style w:type="character" w:default="1" w:styleId="DefaultParagraphFont">
    <w:name w:val="Default Paragraph Font"/>
    <w:uiPriority w:val="1"/>
    <w:unhideWhenUsed/>
    <w:rsid w:val="00BD6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900"/>
  </w:style>
  <w:style w:type="character" w:customStyle="1" w:styleId="Heading1Char">
    <w:name w:val="Heading 1 Char"/>
    <w:basedOn w:val="DefaultParagraphFont"/>
    <w:link w:val="Heading1"/>
    <w:rsid w:val="00BD6900"/>
    <w:rPr>
      <w:rFonts w:ascii="Times New Roman" w:eastAsia="Times New Roman" w:hAnsi="Times New Roman" w:cs="Times New Roman"/>
      <w:b/>
      <w:sz w:val="32"/>
      <w:szCs w:val="20"/>
      <w:lang w:eastAsia="en-US"/>
    </w:rPr>
  </w:style>
  <w:style w:type="paragraph" w:styleId="BodyText">
    <w:name w:val="Body Text"/>
    <w:basedOn w:val="Normal"/>
    <w:link w:val="BodyTextChar"/>
    <w:rsid w:val="00BD69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900"/>
    <w:rPr>
      <w:rFonts w:ascii="Times New Roman" w:eastAsia="Times New Roman" w:hAnsi="Times New Roman" w:cs="Times New Roman"/>
      <w:sz w:val="24"/>
      <w:lang w:eastAsia="en-US"/>
    </w:rPr>
  </w:style>
  <w:style w:type="paragraph" w:styleId="List">
    <w:name w:val="List"/>
    <w:basedOn w:val="BodyText"/>
    <w:next w:val="BodyText"/>
    <w:rsid w:val="00BD6900"/>
    <w:pPr>
      <w:tabs>
        <w:tab w:val="left" w:pos="340"/>
      </w:tabs>
      <w:spacing w:before="60" w:after="60"/>
      <w:ind w:left="340" w:hanging="340"/>
    </w:pPr>
  </w:style>
  <w:style w:type="character" w:styleId="Emphasis">
    <w:name w:val="Emphasis"/>
    <w:basedOn w:val="DefaultParagraphFont"/>
    <w:qFormat/>
    <w:rsid w:val="00BD6900"/>
    <w:rPr>
      <w:i/>
    </w:rPr>
  </w:style>
  <w:style w:type="paragraph" w:customStyle="1" w:styleId="SuperHeading">
    <w:name w:val="SuperHeading"/>
    <w:basedOn w:val="Normal"/>
    <w:rsid w:val="00BD6900"/>
    <w:pPr>
      <w:spacing w:before="240" w:after="120"/>
      <w:outlineLvl w:val="0"/>
    </w:pPr>
    <w:rPr>
      <w:rFonts w:ascii="Times New Roman" w:hAnsi="Times New Roman"/>
      <w:b/>
      <w:sz w:val="32"/>
    </w:rPr>
  </w:style>
  <w:style w:type="paragraph" w:customStyle="1" w:styleId="AllowPageBreak">
    <w:name w:val="AllowPageBreak"/>
    <w:rsid w:val="00BD69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6900"/>
    <w:pPr>
      <w:tabs>
        <w:tab w:val="left" w:pos="680"/>
      </w:tabs>
      <w:spacing w:before="60" w:after="60"/>
      <w:ind w:left="680" w:hanging="340"/>
    </w:pPr>
  </w:style>
  <w:style w:type="character" w:customStyle="1" w:styleId="Heading2Char">
    <w:name w:val="Heading 2 Char"/>
    <w:basedOn w:val="DefaultParagraphFont"/>
    <w:link w:val="Heading2"/>
    <w:rsid w:val="00BD6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900"/>
    <w:rPr>
      <w:rFonts w:ascii="Courier New" w:eastAsia="Times New Roman" w:hAnsi="Courier New" w:cs="Times New Roman"/>
      <w:i/>
      <w:szCs w:val="20"/>
      <w:lang w:eastAsia="en-US"/>
    </w:rPr>
  </w:style>
  <w:style w:type="paragraph" w:customStyle="1" w:styleId="HeadingBase">
    <w:name w:val="Heading Base"/>
    <w:rsid w:val="00BD6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900"/>
    <w:pPr>
      <w:tabs>
        <w:tab w:val="right" w:leader="dot" w:pos="9072"/>
      </w:tabs>
      <w:ind w:left="567"/>
    </w:pPr>
    <w:rPr>
      <w:szCs w:val="22"/>
    </w:rPr>
  </w:style>
  <w:style w:type="paragraph" w:customStyle="1" w:styleId="TOCBase">
    <w:name w:val="TOC Base"/>
    <w:rsid w:val="00BD6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900"/>
    <w:pPr>
      <w:tabs>
        <w:tab w:val="right" w:leader="dot" w:pos="9072"/>
      </w:tabs>
      <w:spacing w:before="40" w:after="40"/>
      <w:ind w:left="284"/>
    </w:pPr>
    <w:rPr>
      <w:rFonts w:ascii="Times New Roman" w:hAnsi="Times New Roman"/>
    </w:rPr>
  </w:style>
  <w:style w:type="paragraph" w:styleId="TOC1">
    <w:name w:val="toc 1"/>
    <w:basedOn w:val="TOCBase"/>
    <w:next w:val="Normal"/>
    <w:rsid w:val="00BD6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900"/>
    <w:rPr>
      <w:rFonts w:ascii="Times New Roman" w:eastAsia="Times New Roman" w:hAnsi="Times New Roman" w:cs="Times New Roman"/>
      <w:sz w:val="16"/>
      <w:lang w:eastAsia="en-US"/>
    </w:rPr>
  </w:style>
  <w:style w:type="paragraph" w:styleId="Title">
    <w:name w:val="Title"/>
    <w:basedOn w:val="HeadingBase"/>
    <w:link w:val="TitleChar"/>
    <w:qFormat/>
    <w:rsid w:val="00BD6900"/>
    <w:pPr>
      <w:spacing w:before="5040"/>
      <w:jc w:val="center"/>
    </w:pPr>
    <w:rPr>
      <w:sz w:val="48"/>
      <w:szCs w:val="72"/>
      <w:lang w:val="en-US"/>
    </w:rPr>
  </w:style>
  <w:style w:type="character" w:customStyle="1" w:styleId="TitleChar">
    <w:name w:val="Title Char"/>
    <w:basedOn w:val="DefaultParagraphFont"/>
    <w:link w:val="Title"/>
    <w:rsid w:val="00BD6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900"/>
    <w:pPr>
      <w:tabs>
        <w:tab w:val="left" w:pos="3600"/>
        <w:tab w:val="left" w:pos="3958"/>
      </w:tabs>
    </w:pPr>
  </w:style>
  <w:style w:type="paragraph" w:styleId="ListBullet">
    <w:name w:val="List Bullet"/>
    <w:basedOn w:val="List"/>
    <w:rsid w:val="00BD6900"/>
    <w:pPr>
      <w:numPr>
        <w:numId w:val="10"/>
      </w:numPr>
      <w:tabs>
        <w:tab w:val="clear" w:pos="340"/>
      </w:tabs>
      <w:spacing w:before="40" w:after="40"/>
    </w:pPr>
  </w:style>
  <w:style w:type="paragraph" w:customStyle="1" w:styleId="Note">
    <w:name w:val="Note"/>
    <w:basedOn w:val="BodyText"/>
    <w:rsid w:val="00BD69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6900"/>
    <w:rPr>
      <w:b/>
      <w:spacing w:val="0"/>
    </w:rPr>
  </w:style>
  <w:style w:type="paragraph" w:customStyle="1" w:styleId="SuperTitle">
    <w:name w:val="SuperTitle"/>
    <w:basedOn w:val="Title"/>
    <w:rsid w:val="00BD6900"/>
    <w:pPr>
      <w:framePr w:wrap="auto" w:hAnchor="text" w:y="6049"/>
    </w:pPr>
    <w:rPr>
      <w:color w:val="000000"/>
      <w:sz w:val="40"/>
    </w:rPr>
  </w:style>
  <w:style w:type="paragraph" w:customStyle="1" w:styleId="TOCTitle">
    <w:name w:val="TOCTitle"/>
    <w:basedOn w:val="Heading1"/>
    <w:rsid w:val="00BD6900"/>
    <w:pPr>
      <w:spacing w:after="240"/>
      <w:jc w:val="center"/>
      <w:outlineLvl w:val="9"/>
    </w:pPr>
    <w:rPr>
      <w:caps/>
    </w:rPr>
  </w:style>
  <w:style w:type="paragraph" w:customStyle="1" w:styleId="Version">
    <w:name w:val="Version"/>
    <w:rsid w:val="00BD69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6900"/>
    <w:pPr>
      <w:numPr>
        <w:numId w:val="11"/>
      </w:numPr>
      <w:tabs>
        <w:tab w:val="clear" w:pos="680"/>
      </w:tabs>
    </w:pPr>
  </w:style>
  <w:style w:type="paragraph" w:styleId="Index1">
    <w:name w:val="index 1"/>
    <w:basedOn w:val="Normal"/>
    <w:next w:val="Normal"/>
    <w:semiHidden/>
    <w:rsid w:val="00BD6900"/>
    <w:pPr>
      <w:keepNext w:val="0"/>
      <w:tabs>
        <w:tab w:val="right" w:pos="4176"/>
      </w:tabs>
      <w:ind w:left="198" w:hanging="198"/>
    </w:pPr>
    <w:rPr>
      <w:rFonts w:ascii="Garamond" w:hAnsi="Garamond"/>
    </w:rPr>
  </w:style>
  <w:style w:type="paragraph" w:styleId="IndexHeading">
    <w:name w:val="index heading"/>
    <w:basedOn w:val="Normal"/>
    <w:next w:val="Index1"/>
    <w:semiHidden/>
    <w:rsid w:val="00BD6900"/>
    <w:pPr>
      <w:spacing w:before="120" w:after="120"/>
    </w:pPr>
    <w:rPr>
      <w:rFonts w:ascii="Arial" w:hAnsi="Arial"/>
      <w:b/>
      <w:color w:val="918585"/>
      <w:sz w:val="24"/>
    </w:rPr>
  </w:style>
  <w:style w:type="paragraph" w:styleId="Header">
    <w:name w:val="header"/>
    <w:basedOn w:val="Normal"/>
    <w:link w:val="HeaderChar"/>
    <w:rsid w:val="00BD6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900"/>
    <w:rPr>
      <w:rFonts w:ascii="Times New Roman" w:eastAsia="Times New Roman" w:hAnsi="Times New Roman" w:cs="Times New Roman"/>
      <w:sz w:val="16"/>
      <w:szCs w:val="20"/>
      <w:lang w:val="en-GB" w:eastAsia="en-US"/>
    </w:rPr>
  </w:style>
  <w:style w:type="paragraph" w:customStyle="1" w:styleId="Chapter">
    <w:name w:val="Chapter"/>
    <w:basedOn w:val="Normal"/>
    <w:rsid w:val="00BD6900"/>
    <w:pPr>
      <w:spacing w:before="240"/>
    </w:pPr>
    <w:rPr>
      <w:rFonts w:ascii="Times New Roman" w:hAnsi="Times New Roman"/>
      <w:smallCaps/>
      <w:spacing w:val="80"/>
      <w:sz w:val="28"/>
    </w:rPr>
  </w:style>
  <w:style w:type="paragraph" w:customStyle="1" w:styleId="InChapter">
    <w:name w:val="InChapter"/>
    <w:basedOn w:val="Heading3"/>
    <w:rsid w:val="00BD6900"/>
    <w:pPr>
      <w:spacing w:after="240"/>
      <w:outlineLvl w:val="9"/>
    </w:pPr>
    <w:rPr>
      <w:noProof/>
    </w:rPr>
  </w:style>
  <w:style w:type="paragraph" w:styleId="Index2">
    <w:name w:val="index 2"/>
    <w:basedOn w:val="Normal"/>
    <w:next w:val="Normal"/>
    <w:semiHidden/>
    <w:rsid w:val="00BD6900"/>
    <w:pPr>
      <w:tabs>
        <w:tab w:val="right" w:pos="4176"/>
      </w:tabs>
      <w:ind w:left="568" w:hanging="284"/>
    </w:pPr>
    <w:rPr>
      <w:rFonts w:ascii="Garamond" w:hAnsi="Garamond"/>
    </w:rPr>
  </w:style>
  <w:style w:type="paragraph" w:customStyle="1" w:styleId="Byline">
    <w:name w:val="Byline"/>
    <w:rsid w:val="00BD6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900"/>
    <w:pPr>
      <w:tabs>
        <w:tab w:val="clear" w:pos="3600"/>
        <w:tab w:val="clear" w:pos="3958"/>
      </w:tabs>
      <w:jc w:val="right"/>
    </w:pPr>
  </w:style>
  <w:style w:type="paragraph" w:styleId="Caption">
    <w:name w:val="caption"/>
    <w:basedOn w:val="BodyText"/>
    <w:next w:val="Normal"/>
    <w:qFormat/>
    <w:rsid w:val="00BD6900"/>
    <w:pPr>
      <w:framePr w:w="2268" w:hSpace="181" w:vSpace="181" w:wrap="around" w:vAnchor="text" w:hAnchor="page" w:x="1135" w:y="285" w:anchorLock="1"/>
    </w:pPr>
    <w:rPr>
      <w:i/>
    </w:rPr>
  </w:style>
  <w:style w:type="paragraph" w:customStyle="1" w:styleId="MiniTOCTitle">
    <w:name w:val="MiniTOCTitle"/>
    <w:basedOn w:val="Heading4"/>
    <w:rsid w:val="00BD6900"/>
    <w:pPr>
      <w:spacing w:before="240"/>
      <w:outlineLvl w:val="9"/>
    </w:pPr>
    <w:rPr>
      <w:noProof/>
      <w:sz w:val="24"/>
    </w:rPr>
  </w:style>
  <w:style w:type="paragraph" w:customStyle="1" w:styleId="MiniTOCItem">
    <w:name w:val="MiniTOCItem"/>
    <w:basedOn w:val="ListBullet"/>
    <w:rsid w:val="00BD6900"/>
    <w:pPr>
      <w:numPr>
        <w:numId w:val="0"/>
      </w:numPr>
      <w:tabs>
        <w:tab w:val="right" w:leader="dot" w:pos="6521"/>
      </w:tabs>
      <w:spacing w:before="0" w:after="0"/>
    </w:pPr>
  </w:style>
  <w:style w:type="paragraph" w:customStyle="1" w:styleId="TOFTitle">
    <w:name w:val="TOFTitle"/>
    <w:basedOn w:val="TOCTitle"/>
    <w:rsid w:val="00BD6900"/>
  </w:style>
  <w:style w:type="paragraph" w:styleId="TableofFigures">
    <w:name w:val="table of figures"/>
    <w:basedOn w:val="Normal"/>
    <w:next w:val="Normal"/>
    <w:semiHidden/>
    <w:rsid w:val="00BD6900"/>
    <w:pPr>
      <w:tabs>
        <w:tab w:val="right" w:leader="dot" w:pos="9072"/>
      </w:tabs>
      <w:ind w:left="970" w:hanging="403"/>
    </w:pPr>
    <w:rPr>
      <w:rFonts w:ascii="Times New Roman" w:hAnsi="Times New Roman"/>
      <w:b/>
    </w:rPr>
  </w:style>
  <w:style w:type="paragraph" w:styleId="ListNumber">
    <w:name w:val="List Number"/>
    <w:basedOn w:val="List"/>
    <w:rsid w:val="00BD6900"/>
    <w:pPr>
      <w:numPr>
        <w:numId w:val="13"/>
      </w:numPr>
      <w:tabs>
        <w:tab w:val="clear" w:pos="340"/>
      </w:tabs>
    </w:pPr>
  </w:style>
  <w:style w:type="character" w:customStyle="1" w:styleId="WingdingSymbols">
    <w:name w:val="Wingding Symbols"/>
    <w:rsid w:val="00BD6900"/>
    <w:rPr>
      <w:rFonts w:ascii="Wingdings" w:hAnsi="Wingdings"/>
    </w:rPr>
  </w:style>
  <w:style w:type="paragraph" w:customStyle="1" w:styleId="TableHeading">
    <w:name w:val="Table Heading"/>
    <w:basedOn w:val="HeadingBase"/>
    <w:rsid w:val="00BD6900"/>
    <w:pPr>
      <w:keepLines/>
      <w:pBdr>
        <w:bottom w:val="single" w:sz="6" w:space="1" w:color="918585"/>
      </w:pBdr>
      <w:spacing w:before="240"/>
    </w:pPr>
  </w:style>
  <w:style w:type="character" w:customStyle="1" w:styleId="HotSpot">
    <w:name w:val="HotSpot"/>
    <w:rsid w:val="00BD6900"/>
    <w:rPr>
      <w:color w:val="0033CC"/>
      <w:u w:val="none"/>
    </w:rPr>
  </w:style>
  <w:style w:type="paragraph" w:customStyle="1" w:styleId="BodyTextRight">
    <w:name w:val="Body Text Right"/>
    <w:basedOn w:val="BodyText"/>
    <w:rsid w:val="00BD6900"/>
    <w:pPr>
      <w:spacing w:before="0" w:after="0"/>
      <w:jc w:val="right"/>
    </w:pPr>
  </w:style>
  <w:style w:type="paragraph" w:styleId="Index3">
    <w:name w:val="index 3"/>
    <w:basedOn w:val="ListNumber2"/>
    <w:next w:val="Normal"/>
    <w:semiHidden/>
    <w:rsid w:val="00BD6900"/>
    <w:pPr>
      <w:numPr>
        <w:numId w:val="0"/>
      </w:numPr>
      <w:tabs>
        <w:tab w:val="right" w:leader="dot" w:pos="4176"/>
      </w:tabs>
    </w:pPr>
  </w:style>
  <w:style w:type="paragraph" w:styleId="ListNumber2">
    <w:name w:val="List Number 2"/>
    <w:basedOn w:val="List2"/>
    <w:rsid w:val="00BD6900"/>
    <w:pPr>
      <w:numPr>
        <w:numId w:val="8"/>
      </w:numPr>
      <w:tabs>
        <w:tab w:val="clear" w:pos="1060"/>
      </w:tabs>
    </w:pPr>
  </w:style>
  <w:style w:type="paragraph" w:customStyle="1" w:styleId="MarginNote">
    <w:name w:val="Margin Note"/>
    <w:basedOn w:val="BodyText"/>
    <w:rsid w:val="00BD6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900"/>
    <w:rPr>
      <w:sz w:val="32"/>
    </w:rPr>
  </w:style>
  <w:style w:type="paragraph" w:customStyle="1" w:styleId="HeadingProcedure">
    <w:name w:val="Heading Procedure"/>
    <w:basedOn w:val="HeadingBase"/>
    <w:next w:val="Normal"/>
    <w:rsid w:val="00BD6900"/>
    <w:pPr>
      <w:tabs>
        <w:tab w:val="left" w:pos="0"/>
      </w:tabs>
      <w:spacing w:before="120" w:after="60"/>
    </w:pPr>
    <w:rPr>
      <w:i/>
      <w:color w:val="918585"/>
      <w:sz w:val="22"/>
    </w:rPr>
  </w:style>
  <w:style w:type="paragraph" w:customStyle="1" w:styleId="TableBodyText">
    <w:name w:val="Table Body Text"/>
    <w:basedOn w:val="BodyText"/>
    <w:rsid w:val="00BD6900"/>
    <w:pPr>
      <w:spacing w:before="60" w:after="60"/>
    </w:pPr>
  </w:style>
  <w:style w:type="paragraph" w:styleId="ListContinue">
    <w:name w:val="List Continue"/>
    <w:basedOn w:val="List"/>
    <w:rsid w:val="00BD6900"/>
    <w:pPr>
      <w:ind w:firstLine="0"/>
    </w:pPr>
  </w:style>
  <w:style w:type="paragraph" w:customStyle="1" w:styleId="ListNote">
    <w:name w:val="List Note"/>
    <w:basedOn w:val="List"/>
    <w:rsid w:val="00BD6900"/>
    <w:pPr>
      <w:pBdr>
        <w:top w:val="single" w:sz="6" w:space="2" w:color="918585"/>
        <w:bottom w:val="single" w:sz="6" w:space="2" w:color="918585"/>
      </w:pBdr>
      <w:tabs>
        <w:tab w:val="left" w:pos="1021"/>
      </w:tabs>
      <w:ind w:firstLine="0"/>
    </w:pPr>
  </w:style>
  <w:style w:type="paragraph" w:customStyle="1" w:styleId="Warning">
    <w:name w:val="Warning"/>
    <w:basedOn w:val="BodyText"/>
    <w:rsid w:val="00BD6900"/>
    <w:pPr>
      <w:shd w:val="clear" w:color="auto" w:fill="D9D9D9"/>
      <w:tabs>
        <w:tab w:val="left" w:pos="992"/>
      </w:tabs>
      <w:ind w:left="119" w:right="119"/>
    </w:pPr>
    <w:rPr>
      <w:sz w:val="20"/>
    </w:rPr>
  </w:style>
  <w:style w:type="paragraph" w:customStyle="1" w:styleId="MarginIcons">
    <w:name w:val="Margin Icons"/>
    <w:basedOn w:val="BodyText"/>
    <w:rsid w:val="00BD6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900"/>
    <w:rPr>
      <w:rFonts w:ascii="Courier New" w:hAnsi="Courier New"/>
    </w:rPr>
  </w:style>
  <w:style w:type="paragraph" w:customStyle="1" w:styleId="NoteBullet">
    <w:name w:val="Note Bullet"/>
    <w:basedOn w:val="Note"/>
    <w:rsid w:val="00BD6900"/>
    <w:pPr>
      <w:tabs>
        <w:tab w:val="clear" w:pos="680"/>
      </w:tabs>
      <w:spacing w:before="60" w:after="60"/>
    </w:pPr>
  </w:style>
  <w:style w:type="paragraph" w:customStyle="1" w:styleId="SubHeading2">
    <w:name w:val="SubHeading2"/>
    <w:basedOn w:val="HeadingBase"/>
    <w:rsid w:val="00BD6900"/>
    <w:pPr>
      <w:spacing w:before="240" w:after="60"/>
    </w:pPr>
    <w:rPr>
      <w:sz w:val="20"/>
    </w:rPr>
  </w:style>
  <w:style w:type="paragraph" w:customStyle="1" w:styleId="SubHeading1">
    <w:name w:val="SubHeading1"/>
    <w:basedOn w:val="HeadingBase"/>
    <w:rsid w:val="00BD6900"/>
    <w:pPr>
      <w:spacing w:before="240" w:after="60"/>
    </w:pPr>
    <w:rPr>
      <w:color w:val="918585"/>
      <w:sz w:val="22"/>
    </w:rPr>
  </w:style>
  <w:style w:type="paragraph" w:customStyle="1" w:styleId="SideHeading">
    <w:name w:val="Side Heading"/>
    <w:basedOn w:val="HeadingBase"/>
    <w:rsid w:val="00BD6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900"/>
    <w:pPr>
      <w:numPr>
        <w:numId w:val="9"/>
      </w:numPr>
    </w:pPr>
  </w:style>
  <w:style w:type="paragraph" w:styleId="PlainText">
    <w:name w:val="Plain Text"/>
    <w:basedOn w:val="Normal"/>
    <w:link w:val="PlainTextChar"/>
    <w:rsid w:val="00BD6900"/>
    <w:rPr>
      <w:sz w:val="20"/>
    </w:rPr>
  </w:style>
  <w:style w:type="character" w:customStyle="1" w:styleId="PlainTextChar">
    <w:name w:val="Plain Text Char"/>
    <w:basedOn w:val="DefaultParagraphFont"/>
    <w:link w:val="PlainText"/>
    <w:rsid w:val="00BD6900"/>
    <w:rPr>
      <w:rFonts w:ascii="Courier New" w:eastAsia="Times New Roman" w:hAnsi="Courier New" w:cs="Times New Roman"/>
      <w:sz w:val="20"/>
      <w:szCs w:val="20"/>
      <w:lang w:eastAsia="en-US"/>
    </w:rPr>
  </w:style>
  <w:style w:type="character" w:customStyle="1" w:styleId="MenuOption">
    <w:name w:val="Menu Option"/>
    <w:basedOn w:val="DefaultParagraphFont"/>
    <w:rsid w:val="00BD6900"/>
    <w:rPr>
      <w:b/>
      <w:smallCaps/>
    </w:rPr>
  </w:style>
  <w:style w:type="paragraph" w:customStyle="1" w:styleId="TableListNumber">
    <w:name w:val="Table List Number"/>
    <w:basedOn w:val="ListNumber"/>
    <w:rsid w:val="00BD6900"/>
    <w:pPr>
      <w:numPr>
        <w:numId w:val="0"/>
      </w:numPr>
    </w:pPr>
  </w:style>
  <w:style w:type="paragraph" w:styleId="TOC4">
    <w:name w:val="toc 4"/>
    <w:basedOn w:val="TOCBase"/>
    <w:next w:val="Normal"/>
    <w:semiHidden/>
    <w:rsid w:val="00BD6900"/>
    <w:pPr>
      <w:tabs>
        <w:tab w:val="right" w:leader="dot" w:pos="9071"/>
      </w:tabs>
      <w:ind w:left="1701"/>
    </w:pPr>
  </w:style>
  <w:style w:type="paragraph" w:customStyle="1" w:styleId="ListAlpha">
    <w:name w:val="List Alpha"/>
    <w:basedOn w:val="List"/>
    <w:rsid w:val="00BD6900"/>
    <w:pPr>
      <w:numPr>
        <w:numId w:val="7"/>
      </w:numPr>
    </w:pPr>
  </w:style>
  <w:style w:type="paragraph" w:customStyle="1" w:styleId="ListAlpha2">
    <w:name w:val="List Alpha 2"/>
    <w:basedOn w:val="List2"/>
    <w:rsid w:val="00BD6900"/>
    <w:pPr>
      <w:numPr>
        <w:numId w:val="6"/>
      </w:numPr>
    </w:pPr>
  </w:style>
  <w:style w:type="paragraph" w:styleId="List3">
    <w:name w:val="List 3"/>
    <w:basedOn w:val="BodyText"/>
    <w:rsid w:val="00BD6900"/>
    <w:pPr>
      <w:tabs>
        <w:tab w:val="left" w:pos="1021"/>
      </w:tabs>
      <w:spacing w:before="60" w:after="60"/>
      <w:ind w:left="1020" w:hanging="340"/>
    </w:pPr>
  </w:style>
  <w:style w:type="paragraph" w:styleId="List4">
    <w:name w:val="List 4"/>
    <w:basedOn w:val="BodyText"/>
    <w:rsid w:val="00BD6900"/>
    <w:pPr>
      <w:tabs>
        <w:tab w:val="left" w:pos="1361"/>
      </w:tabs>
      <w:spacing w:before="60" w:after="60"/>
      <w:ind w:left="1361" w:hanging="340"/>
    </w:pPr>
  </w:style>
  <w:style w:type="paragraph" w:styleId="List5">
    <w:name w:val="List 5"/>
    <w:basedOn w:val="BodyText"/>
    <w:rsid w:val="00BD6900"/>
    <w:pPr>
      <w:tabs>
        <w:tab w:val="left" w:pos="1701"/>
      </w:tabs>
      <w:spacing w:before="60" w:after="60"/>
      <w:ind w:left="1701" w:hanging="340"/>
    </w:pPr>
  </w:style>
  <w:style w:type="paragraph" w:styleId="ListBullet3">
    <w:name w:val="List Bullet 3"/>
    <w:basedOn w:val="List3"/>
    <w:rsid w:val="00BD6900"/>
    <w:pPr>
      <w:numPr>
        <w:numId w:val="12"/>
      </w:numPr>
      <w:tabs>
        <w:tab w:val="clear" w:pos="1021"/>
      </w:tabs>
      <w:ind w:left="1037" w:hanging="357"/>
    </w:pPr>
  </w:style>
  <w:style w:type="paragraph" w:styleId="ListBullet4">
    <w:name w:val="List Bullet 4"/>
    <w:basedOn w:val="List4"/>
    <w:rsid w:val="00BD6900"/>
    <w:pPr>
      <w:numPr>
        <w:numId w:val="1"/>
      </w:numPr>
      <w:tabs>
        <w:tab w:val="clear" w:pos="1361"/>
      </w:tabs>
    </w:pPr>
  </w:style>
  <w:style w:type="paragraph" w:styleId="ListBullet5">
    <w:name w:val="List Bullet 5"/>
    <w:basedOn w:val="List5"/>
    <w:rsid w:val="00BD6900"/>
    <w:pPr>
      <w:numPr>
        <w:numId w:val="2"/>
      </w:numPr>
    </w:pPr>
  </w:style>
  <w:style w:type="paragraph" w:styleId="ListContinue2">
    <w:name w:val="List Continue 2"/>
    <w:basedOn w:val="List2"/>
    <w:rsid w:val="00BD6900"/>
    <w:pPr>
      <w:ind w:firstLine="0"/>
    </w:pPr>
  </w:style>
  <w:style w:type="paragraph" w:styleId="ListContinue3">
    <w:name w:val="List Continue 3"/>
    <w:basedOn w:val="List3"/>
    <w:rsid w:val="00BD6900"/>
    <w:pPr>
      <w:ind w:left="1021" w:firstLine="0"/>
    </w:pPr>
  </w:style>
  <w:style w:type="paragraph" w:styleId="ListContinue4">
    <w:name w:val="List Continue 4"/>
    <w:basedOn w:val="List4"/>
    <w:rsid w:val="00BD6900"/>
    <w:pPr>
      <w:ind w:firstLine="0"/>
    </w:pPr>
  </w:style>
  <w:style w:type="paragraph" w:styleId="ListContinue5">
    <w:name w:val="List Continue 5"/>
    <w:basedOn w:val="List5"/>
    <w:rsid w:val="00BD6900"/>
    <w:pPr>
      <w:ind w:firstLine="0"/>
    </w:pPr>
  </w:style>
  <w:style w:type="paragraph" w:styleId="ListNumber3">
    <w:name w:val="List Number 3"/>
    <w:basedOn w:val="List3"/>
    <w:rsid w:val="00BD6900"/>
    <w:pPr>
      <w:numPr>
        <w:numId w:val="3"/>
      </w:numPr>
    </w:pPr>
  </w:style>
  <w:style w:type="paragraph" w:styleId="ListNumber4">
    <w:name w:val="List Number 4"/>
    <w:basedOn w:val="List4"/>
    <w:rsid w:val="00BD6900"/>
    <w:pPr>
      <w:numPr>
        <w:numId w:val="4"/>
      </w:numPr>
    </w:pPr>
  </w:style>
  <w:style w:type="paragraph" w:styleId="ListNumber5">
    <w:name w:val="List Number 5"/>
    <w:basedOn w:val="List5"/>
    <w:rsid w:val="00BD6900"/>
    <w:pPr>
      <w:numPr>
        <w:numId w:val="5"/>
      </w:numPr>
    </w:pPr>
  </w:style>
  <w:style w:type="paragraph" w:styleId="BlockText">
    <w:name w:val="Block Text"/>
    <w:basedOn w:val="Normal"/>
    <w:rsid w:val="00BD6900"/>
    <w:pPr>
      <w:spacing w:after="120"/>
      <w:ind w:left="1440" w:right="1440"/>
    </w:pPr>
  </w:style>
  <w:style w:type="character" w:customStyle="1" w:styleId="Subscript">
    <w:name w:val="Subscript"/>
    <w:basedOn w:val="DefaultParagraphFont"/>
    <w:rsid w:val="00BD6900"/>
    <w:rPr>
      <w:sz w:val="16"/>
      <w:vertAlign w:val="subscript"/>
    </w:rPr>
  </w:style>
  <w:style w:type="character" w:customStyle="1" w:styleId="Superscript">
    <w:name w:val="Superscript"/>
    <w:basedOn w:val="DefaultParagraphFont"/>
    <w:rsid w:val="00BD6900"/>
    <w:rPr>
      <w:sz w:val="16"/>
      <w:vertAlign w:val="superscript"/>
    </w:rPr>
  </w:style>
  <w:style w:type="character" w:customStyle="1" w:styleId="Symbols">
    <w:name w:val="Symbols"/>
    <w:basedOn w:val="DefaultParagraphFont"/>
    <w:rsid w:val="00BD6900"/>
    <w:rPr>
      <w:rFonts w:ascii="Symbol" w:hAnsi="Symbol"/>
    </w:rPr>
  </w:style>
  <w:style w:type="character" w:customStyle="1" w:styleId="MenuOptions">
    <w:name w:val="Menu Options"/>
    <w:basedOn w:val="DefaultParagraphFont"/>
    <w:rsid w:val="00BD6900"/>
    <w:rPr>
      <w:rFonts w:ascii="Arial Narrow" w:hAnsi="Arial Narrow"/>
      <w:smallCaps/>
    </w:rPr>
  </w:style>
  <w:style w:type="character" w:customStyle="1" w:styleId="Buttons">
    <w:name w:val="Buttons"/>
    <w:basedOn w:val="DefaultParagraphFont"/>
    <w:rsid w:val="00BD6900"/>
    <w:rPr>
      <w:b/>
    </w:rPr>
  </w:style>
  <w:style w:type="character" w:customStyle="1" w:styleId="Underlined">
    <w:name w:val="Underlined"/>
    <w:basedOn w:val="DefaultParagraphFont"/>
    <w:rsid w:val="00BD6900"/>
    <w:rPr>
      <w:u w:val="single"/>
    </w:rPr>
  </w:style>
  <w:style w:type="paragraph" w:customStyle="1" w:styleId="TableBodyTextRight">
    <w:name w:val="Table Body Text Right"/>
    <w:basedOn w:val="TableBodyText"/>
    <w:rsid w:val="00BD6900"/>
    <w:pPr>
      <w:widowControl w:val="0"/>
      <w:autoSpaceDE w:val="0"/>
      <w:autoSpaceDN w:val="0"/>
      <w:adjustRightInd w:val="0"/>
      <w:jc w:val="right"/>
    </w:pPr>
    <w:rPr>
      <w:rFonts w:cs="Arial"/>
      <w:szCs w:val="18"/>
    </w:rPr>
  </w:style>
  <w:style w:type="paragraph" w:customStyle="1" w:styleId="CopyrightText">
    <w:name w:val="Copyright Text"/>
    <w:basedOn w:val="BodyText"/>
    <w:rsid w:val="00BD6900"/>
    <w:rPr>
      <w:sz w:val="18"/>
    </w:rPr>
  </w:style>
  <w:style w:type="paragraph" w:customStyle="1" w:styleId="BodySmallRight">
    <w:name w:val="Body Small Right"/>
    <w:basedOn w:val="BodyTextRight"/>
    <w:rsid w:val="00BD6900"/>
    <w:rPr>
      <w:sz w:val="18"/>
      <w:szCs w:val="18"/>
    </w:rPr>
  </w:style>
  <w:style w:type="paragraph" w:customStyle="1" w:styleId="MarginEdition">
    <w:name w:val="Margin Edition"/>
    <w:basedOn w:val="MarginNote"/>
    <w:rsid w:val="00BD6900"/>
    <w:pPr>
      <w:spacing w:before="0" w:after="0"/>
    </w:pPr>
    <w:rPr>
      <w:rFonts w:ascii="Times New Roman" w:hAnsi="Times New Roman"/>
      <w:color w:val="999999"/>
    </w:rPr>
  </w:style>
  <w:style w:type="paragraph" w:customStyle="1" w:styleId="Spacer">
    <w:name w:val="Spacer"/>
    <w:basedOn w:val="Normal"/>
    <w:rsid w:val="00BD6900"/>
    <w:rPr>
      <w:sz w:val="2"/>
      <w:szCs w:val="2"/>
    </w:rPr>
  </w:style>
  <w:style w:type="character" w:customStyle="1" w:styleId="Small">
    <w:name w:val="Small"/>
    <w:basedOn w:val="DefaultParagraphFont"/>
    <w:rsid w:val="00BD6900"/>
    <w:rPr>
      <w:sz w:val="16"/>
    </w:rPr>
  </w:style>
  <w:style w:type="paragraph" w:customStyle="1" w:styleId="WideTable">
    <w:name w:val="Wide Table"/>
    <w:basedOn w:val="Normal"/>
    <w:rsid w:val="00BD6900"/>
    <w:pPr>
      <w:ind w:left="-1418"/>
    </w:pPr>
    <w:rPr>
      <w:sz w:val="2"/>
      <w:szCs w:val="2"/>
    </w:rPr>
  </w:style>
  <w:style w:type="character" w:styleId="PageNumber">
    <w:name w:val="page number"/>
    <w:basedOn w:val="DefaultParagraphFont"/>
    <w:rsid w:val="00BD6900"/>
  </w:style>
  <w:style w:type="paragraph" w:styleId="Quote">
    <w:name w:val="Quote"/>
    <w:basedOn w:val="Heading1"/>
    <w:link w:val="QuoteChar"/>
    <w:qFormat/>
    <w:rsid w:val="00BD6900"/>
    <w:rPr>
      <w:b w:val="0"/>
      <w:sz w:val="72"/>
      <w:szCs w:val="72"/>
      <w:lang w:val="en-NZ"/>
    </w:rPr>
  </w:style>
  <w:style w:type="character" w:customStyle="1" w:styleId="QuoteChar">
    <w:name w:val="Quote Char"/>
    <w:basedOn w:val="DefaultParagraphFont"/>
    <w:link w:val="Quote"/>
    <w:rsid w:val="00BD6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900"/>
    <w:pPr>
      <w:pageBreakBefore/>
    </w:pPr>
  </w:style>
  <w:style w:type="paragraph" w:customStyle="1" w:styleId="Border">
    <w:name w:val="Border"/>
    <w:basedOn w:val="Normal"/>
    <w:qFormat/>
    <w:rsid w:val="00BD6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900"/>
    <w:rPr>
      <w:b/>
      <w:bCs/>
      <w:i/>
      <w:iCs/>
      <w:color w:val="auto"/>
    </w:rPr>
  </w:style>
  <w:style w:type="paragraph" w:styleId="IntenseQuote">
    <w:name w:val="Intense Quote"/>
    <w:basedOn w:val="Normal"/>
    <w:next w:val="Normal"/>
    <w:link w:val="IntenseQuoteChar"/>
    <w:uiPriority w:val="30"/>
    <w:qFormat/>
    <w:rsid w:val="00BD6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900"/>
    <w:rPr>
      <w:smallCaps/>
      <w:color w:val="auto"/>
      <w:u w:val="single"/>
    </w:rPr>
  </w:style>
  <w:style w:type="character" w:styleId="IntenseReference">
    <w:name w:val="Intense Reference"/>
    <w:basedOn w:val="DefaultParagraphFont"/>
    <w:uiPriority w:val="32"/>
    <w:qFormat/>
    <w:rsid w:val="00BD6900"/>
    <w:rPr>
      <w:b/>
      <w:bCs/>
      <w:smallCaps/>
      <w:color w:val="auto"/>
      <w:spacing w:val="5"/>
      <w:u w:val="single"/>
    </w:rPr>
  </w:style>
  <w:style w:type="paragraph" w:customStyle="1" w:styleId="2ColumnHeading">
    <w:name w:val="2Column Heading"/>
    <w:basedOn w:val="BodyText"/>
    <w:qFormat/>
    <w:rsid w:val="00BD6900"/>
    <w:pPr>
      <w:spacing w:after="60"/>
      <w:ind w:left="-2268"/>
    </w:pPr>
    <w:rPr>
      <w:b/>
    </w:rPr>
  </w:style>
  <w:style w:type="paragraph" w:customStyle="1" w:styleId="Heading1TOC">
    <w:name w:val="Heading1 TOC"/>
    <w:basedOn w:val="Normal"/>
    <w:qFormat/>
    <w:rsid w:val="00BD6900"/>
    <w:pPr>
      <w:spacing w:before="240" w:after="120"/>
    </w:pPr>
    <w:rPr>
      <w:rFonts w:ascii="Times New Roman" w:hAnsi="Times New Roman"/>
      <w:b/>
      <w:sz w:val="32"/>
    </w:rPr>
  </w:style>
  <w:style w:type="paragraph" w:customStyle="1" w:styleId="Heading2TOC">
    <w:name w:val="Heading2 TOC"/>
    <w:basedOn w:val="Normal"/>
    <w:qFormat/>
    <w:rsid w:val="00BD6900"/>
    <w:pPr>
      <w:spacing w:before="240" w:after="60"/>
    </w:pPr>
    <w:rPr>
      <w:rFonts w:ascii="Times New Roman" w:hAnsi="Times New Roman"/>
      <w:b/>
      <w:sz w:val="28"/>
    </w:rPr>
  </w:style>
  <w:style w:type="character" w:customStyle="1" w:styleId="Underline">
    <w:name w:val="Underline"/>
    <w:basedOn w:val="DefaultParagraphFont"/>
    <w:qFormat/>
    <w:rsid w:val="00BD6900"/>
    <w:rPr>
      <w:u w:val="single"/>
    </w:rPr>
  </w:style>
  <w:style w:type="character" w:customStyle="1" w:styleId="BoldandItalics">
    <w:name w:val="Bold and Italics"/>
    <w:qFormat/>
    <w:rsid w:val="00BD6900"/>
    <w:rPr>
      <w:b/>
      <w:i/>
      <w:u w:val="none"/>
    </w:rPr>
  </w:style>
  <w:style w:type="paragraph" w:styleId="BalloonText">
    <w:name w:val="Balloon Text"/>
    <w:basedOn w:val="Normal"/>
    <w:link w:val="BalloonTextChar"/>
    <w:rsid w:val="00BD6900"/>
    <w:rPr>
      <w:rFonts w:ascii="Tahoma" w:hAnsi="Tahoma" w:cs="Tahoma"/>
      <w:sz w:val="16"/>
      <w:szCs w:val="16"/>
    </w:rPr>
  </w:style>
  <w:style w:type="character" w:customStyle="1" w:styleId="BalloonTextChar">
    <w:name w:val="Balloon Text Char"/>
    <w:basedOn w:val="DefaultParagraphFont"/>
    <w:link w:val="BalloonText"/>
    <w:rsid w:val="00BD6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9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900"/>
    <w:rPr>
      <w:b/>
      <w:color w:val="660033"/>
      <w:spacing w:val="0"/>
    </w:rPr>
  </w:style>
  <w:style w:type="paragraph" w:customStyle="1" w:styleId="Nameditemlist">
    <w:name w:val="Named item list"/>
    <w:basedOn w:val="BodyText"/>
    <w:qFormat/>
    <w:rsid w:val="00BD6900"/>
    <w:pPr>
      <w:tabs>
        <w:tab w:val="left" w:pos="2835"/>
      </w:tabs>
      <w:ind w:left="2835" w:hanging="2835"/>
    </w:pPr>
  </w:style>
  <w:style w:type="paragraph" w:customStyle="1" w:styleId="BodyTextnopadding">
    <w:name w:val="Body Text no padding"/>
    <w:basedOn w:val="BodyText"/>
    <w:qFormat/>
    <w:rsid w:val="00BD6900"/>
    <w:pPr>
      <w:spacing w:before="0" w:after="0"/>
    </w:pPr>
  </w:style>
  <w:style w:type="paragraph" w:customStyle="1" w:styleId="BodyTextBold">
    <w:name w:val="Body Text Bold"/>
    <w:basedOn w:val="BodyText"/>
    <w:qFormat/>
    <w:rsid w:val="00BD6900"/>
    <w:rPr>
      <w:b/>
    </w:rPr>
  </w:style>
  <w:style w:type="character" w:styleId="Hyperlink">
    <w:name w:val="Hyperlink"/>
    <w:basedOn w:val="DefaultParagraphFont"/>
    <w:uiPriority w:val="99"/>
    <w:unhideWhenUsed/>
    <w:rsid w:val="00D627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5127</Characters>
  <Application>Microsoft Office Word</Application>
  <DocSecurity>0</DocSecurity>
  <Lines>116</Lines>
  <Paragraphs>87</Paragraphs>
  <ScaleCrop>false</ScaleCrop>
  <Company>Author-it Software Corporation Ltd.</Company>
  <LinksUpToDate>false</LinksUpToDate>
  <CharactersWithSpaces>5868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HLTDEP002 Gather data, conduct dental prosthetic examination and develop treatment plan</dc:title>
  <dc:subject>Approved</dc:subject>
  <dc:creator>SkillsIQ</dc:creator>
  <cp:keywords>Release: 1</cp:keywords>
  <dc:description>Review Date: 12 April 2008</dc:description>
  <cp:lastModifiedBy>HSD_TPCMSd.prod</cp:lastModifiedBy>
  <cp:revision>3</cp:revision>
  <dcterms:created xsi:type="dcterms:W3CDTF">2023-07-02T02:52:00Z</dcterms:created>
  <dcterms:modified xsi:type="dcterms:W3CDTF">2023-07-02T02:52:00Z</dcterms:modified>
</cp:coreProperties>
</file>