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A08" w:rsidP="00C80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HLTDEP001 Identify, select and prepare instruments, equipment and materials</w:t>
      </w:r>
      <w:r>
        <w:fldChar w:fldCharType="end"/>
      </w:r>
    </w:p>
    <w:p w:rsidR="00C80A08" w:rsidP="00C80A08">
      <w:pPr>
        <w:pStyle w:val="Version"/>
        <w:sectPr w:rsidSect="00C15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B2C" w:rsidP="00C15B2C">
      <w:pPr>
        <w:pStyle w:val="SuperHeading"/>
      </w:pPr>
      <w:r w:rsidRPr="00C15B2C">
        <w:t>HLTDEP001 Identify, select and prepare instruments, equipment and materials</w:t>
      </w:r>
    </w:p>
    <w:p w:rsidR="00000000" w:rsidRPr="00C15B2C" w:rsidP="00C15B2C">
      <w:pPr>
        <w:pStyle w:val="Heading1"/>
      </w:pPr>
      <w:bookmarkStart w:id="1" w:name="O_819335"/>
      <w:bookmarkEnd w:id="1"/>
      <w:r w:rsidRPr="00C15B2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C8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 xml:space="preserve">Release </w:t>
            </w:r>
            <w:r w:rsidRPr="00C15B2C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 xml:space="preserve">Comments </w:t>
            </w:r>
          </w:p>
        </w:tc>
      </w:tr>
      <w:tr w:rsidTr="00C8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t xml:space="preserve">This version was released in </w:t>
            </w:r>
            <w:r w:rsidRPr="00C15B2C">
              <w:rPr>
                <w:rStyle w:val="Emphasis"/>
              </w:rPr>
              <w:t>HLT Health Training Package release 3.0</w:t>
            </w:r>
            <w:r w:rsidRPr="00C15B2C">
              <w:t xml:space="preserve"> and meets the requirements of the 2012 Standards for Training Packages.</w:t>
            </w:r>
          </w:p>
          <w:p w:rsidR="00000000" w:rsidRPr="00C15B2C" w:rsidP="00C15B2C">
            <w:pPr>
              <w:pStyle w:val="BodyText"/>
            </w:pPr>
            <w:r w:rsidRPr="00C15B2C">
              <w:t xml:space="preserve">Minimal changes to the elements and performance criteria. New evidence requirements for assessment including volume and frequency requirements. Removal of pre-requisites.  </w:t>
            </w:r>
          </w:p>
          <w:p w:rsidR="00000000" w:rsidRPr="00C15B2C" w:rsidP="00C15B2C">
            <w:pPr>
              <w:pStyle w:val="BodyText"/>
            </w:pPr>
            <w:r w:rsidRPr="00C15B2C">
              <w:t>240 work p</w:t>
            </w:r>
            <w:r w:rsidRPr="00C15B2C">
              <w:t xml:space="preserve">lacement hours.  </w:t>
            </w:r>
          </w:p>
          <w:p w:rsidR="00000000" w:rsidRPr="00C15B2C" w:rsidP="00C15B2C">
            <w:pPr>
              <w:pStyle w:val="BodyText"/>
            </w:pPr>
            <w:r w:rsidRPr="00C15B2C">
              <w:t>Supersedes HLTDP601D</w:t>
            </w:r>
          </w:p>
        </w:tc>
      </w:tr>
    </w:tbl>
    <w:p w:rsidR="00C80A08" w:rsidP="00C15B2C">
      <w:pPr>
        <w:pStyle w:val="BodyText"/>
      </w:pPr>
    </w:p>
    <w:p w:rsidR="00C80A08" w:rsidP="00C15B2C">
      <w:pPr>
        <w:pStyle w:val="BodyText"/>
      </w:pPr>
    </w:p>
    <w:p w:rsidR="00000000" w:rsidRPr="00C15B2C" w:rsidP="00C15B2C">
      <w:pPr>
        <w:pStyle w:val="Heading1"/>
      </w:pPr>
      <w:bookmarkStart w:id="2" w:name="O_819336"/>
      <w:bookmarkEnd w:id="2"/>
      <w:r w:rsidRPr="00C15B2C">
        <w:t>Application</w:t>
      </w:r>
    </w:p>
    <w:p w:rsidR="00000000" w:rsidRPr="00C15B2C" w:rsidP="00C80A08">
      <w:pPr>
        <w:pStyle w:val="BodyText"/>
      </w:pPr>
      <w:r w:rsidRPr="00C15B2C">
        <w:t xml:space="preserve">This unit of competency describes the skills and knowledge required to identify, select and prepare appropriate instruments, equipment, materials and medicaments for specific removable </w:t>
      </w:r>
      <w:r w:rsidRPr="00C15B2C">
        <w:t>dental prosthetic procedures.</w:t>
      </w:r>
    </w:p>
    <w:p w:rsidR="00000000" w:rsidRPr="00C15B2C" w:rsidP="00C80A08">
      <w:pPr>
        <w:pStyle w:val="BodyText"/>
      </w:pPr>
      <w:r w:rsidRPr="00C15B2C">
        <w:t>This unit applies to work in dental prosthetics.</w:t>
      </w:r>
    </w:p>
    <w:p w:rsidR="00C80A08" w:rsidRPr="00C80A08" w:rsidP="00C80A08">
      <w:pPr>
        <w:pStyle w:val="BodyText"/>
        <w:rPr>
          <w:i/>
        </w:rPr>
      </w:pPr>
      <w:r w:rsidRPr="00C80A0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C80A08">
        <w:rPr>
          <w:i/>
        </w:rPr>
        <w:t>.</w:t>
      </w:r>
    </w:p>
    <w:p w:rsidR="00000000" w:rsidRPr="00C15B2C" w:rsidP="00C15B2C">
      <w:pPr>
        <w:pStyle w:val="Heading1"/>
      </w:pPr>
      <w:bookmarkStart w:id="3" w:name="O_819340"/>
      <w:bookmarkEnd w:id="3"/>
      <w:r w:rsidRPr="00C15B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1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rPr>
                <w:rStyle w:val="SpecialBold"/>
              </w:rPr>
              <w:t>PERFORMANCE CRITERIA</w:t>
            </w:r>
          </w:p>
        </w:tc>
      </w:tr>
      <w:tr w:rsidTr="00C1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>Performance criteria describe the performance needed to demonstrate achievement of the element.</w:t>
            </w:r>
          </w:p>
        </w:tc>
      </w:tr>
      <w:tr w:rsidTr="00C1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 xml:space="preserve">1. Prepare the clinic for the removable </w:t>
            </w:r>
            <w:r w:rsidRPr="00C15B2C">
              <w:t>dental prosthetic treatment of patients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t>1.1 Make accessible in the clean zone of the surgery the patient’s required laboratory work, necessary charts and records</w:t>
            </w:r>
          </w:p>
          <w:p w:rsidR="00000000" w:rsidRPr="00C15B2C" w:rsidP="00C15B2C">
            <w:pPr>
              <w:pStyle w:val="BodyText"/>
            </w:pPr>
            <w:r w:rsidRPr="00C15B2C">
              <w:t>1.2 Give personal protective equipment to the patient and members of the dental team</w:t>
            </w:r>
          </w:p>
          <w:p w:rsidR="00000000" w:rsidRPr="00C15B2C" w:rsidP="00C15B2C">
            <w:pPr>
              <w:pStyle w:val="BodyText"/>
            </w:pPr>
            <w:r w:rsidRPr="00C15B2C">
              <w:t>1.3 Ensur</w:t>
            </w:r>
            <w:r w:rsidRPr="00C15B2C">
              <w:t xml:space="preserve">e emergency procedures are in place and ready </w:t>
            </w:r>
            <w:r w:rsidRPr="00C15B2C">
              <w:t>for use according to organisation policy and procedures</w:t>
            </w:r>
          </w:p>
          <w:p w:rsidR="00000000" w:rsidP="00C15B2C">
            <w:pPr>
              <w:pStyle w:val="BodyText"/>
              <w:rPr>
                <w:lang w:val="en-NZ"/>
              </w:rPr>
            </w:pPr>
          </w:p>
        </w:tc>
      </w:tr>
      <w:tr w:rsidTr="00C1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>2. Identify and select instruments and equipment for a range of removable dental prosthetic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t>2.1 Implement infection prevention and control te</w:t>
            </w:r>
            <w:r w:rsidRPr="00C15B2C">
              <w:t>chniques</w:t>
            </w:r>
          </w:p>
          <w:p w:rsidR="00000000" w:rsidRPr="00C15B2C" w:rsidP="00C15B2C">
            <w:pPr>
              <w:pStyle w:val="BodyText"/>
            </w:pPr>
            <w:r w:rsidRPr="00C15B2C">
              <w:t>2.2 Select the correct equipment, instruments and materials for the planned prosthetic procedure</w:t>
            </w:r>
          </w:p>
          <w:p w:rsidR="00000000" w:rsidRPr="00C15B2C" w:rsidP="00C15B2C">
            <w:pPr>
              <w:pStyle w:val="BodyText"/>
            </w:pPr>
            <w:r w:rsidRPr="00C15B2C">
              <w:t>2.3 Arrange instruments in order of use for a range of prosthetic procedures</w:t>
            </w:r>
          </w:p>
          <w:p w:rsidR="00000000" w:rsidP="00C15B2C">
            <w:pPr>
              <w:pStyle w:val="BodyText"/>
              <w:rPr>
                <w:lang w:val="en-NZ"/>
              </w:rPr>
            </w:pPr>
          </w:p>
        </w:tc>
      </w:tr>
      <w:tr w:rsidTr="00C1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>3. Prepare instruments and equipment for the range of removable dental prosthetic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t>3.1 Prepare instruments and equipment according to manufacturers’ instructions</w:t>
            </w:r>
          </w:p>
          <w:p w:rsidR="00000000" w:rsidRPr="00C15B2C" w:rsidP="00C15B2C">
            <w:pPr>
              <w:pStyle w:val="BodyText"/>
            </w:pPr>
            <w:r w:rsidRPr="00C15B2C">
              <w:t>3.2 Maintain and store instruments and equipment according to manufacturers’ instruc</w:t>
            </w:r>
            <w:r w:rsidRPr="00C15B2C">
              <w:t>tions and in accordance with infection control guidelines</w:t>
            </w:r>
          </w:p>
          <w:p w:rsidR="00000000" w:rsidP="00C15B2C">
            <w:pPr>
              <w:pStyle w:val="BodyText"/>
              <w:rPr>
                <w:lang w:val="en-NZ"/>
              </w:rPr>
            </w:pPr>
          </w:p>
        </w:tc>
      </w:tr>
      <w:tr w:rsidTr="00C15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t>4. Prepare materials according to manufacturers’ instructions for the range of removable dental prosthetic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t>4.1 Prepare the correct materials and medicaments using the correct techniques</w:t>
            </w:r>
            <w:r w:rsidRPr="00C15B2C">
              <w:t>, to the correct consistency and quantity required, and within the designated timelines</w:t>
            </w:r>
          </w:p>
          <w:p w:rsidR="00000000" w:rsidRPr="00C15B2C" w:rsidP="00C15B2C">
            <w:pPr>
              <w:pStyle w:val="BodyText"/>
            </w:pPr>
            <w:r w:rsidRPr="00C15B2C">
              <w:t>4.2 Monitor storage requirements and shelf life of materials and medicaments</w:t>
            </w:r>
          </w:p>
          <w:p w:rsidR="00000000" w:rsidRPr="00C15B2C" w:rsidP="00C15B2C">
            <w:pPr>
              <w:pStyle w:val="BodyText"/>
            </w:pPr>
            <w:r w:rsidRPr="00C15B2C">
              <w:t>4.3 Check materials for integrity prior to use</w:t>
            </w:r>
          </w:p>
          <w:p w:rsidR="00000000" w:rsidRPr="00C15B2C" w:rsidP="00C15B2C">
            <w:pPr>
              <w:pStyle w:val="BodyText"/>
            </w:pPr>
            <w:r w:rsidRPr="00C15B2C">
              <w:t>4.4 Monitor expiry dates of materials and me</w:t>
            </w:r>
            <w:r w:rsidRPr="00C15B2C">
              <w:t>dicaments and re-order materials correctly</w:t>
            </w:r>
          </w:p>
          <w:p w:rsidR="00000000" w:rsidRPr="00C15B2C" w:rsidP="00C15B2C">
            <w:pPr>
              <w:pStyle w:val="BodyText"/>
            </w:pPr>
            <w:r w:rsidRPr="00C15B2C">
              <w:t>4.5 Store materials and medicaments according to manufacturers’ instructions</w:t>
            </w:r>
          </w:p>
          <w:p w:rsidR="00000000" w:rsidRPr="00C15B2C" w:rsidP="00C15B2C">
            <w:pPr>
              <w:pStyle w:val="BodyText"/>
            </w:pPr>
            <w:r w:rsidRPr="00C15B2C">
              <w:t>4.6 Confine materials to clean zone of surgery to minimise contamination by aerosols and splatter</w:t>
            </w:r>
          </w:p>
          <w:p w:rsidR="00000000" w:rsidRPr="00C15B2C" w:rsidP="00C15B2C">
            <w:pPr>
              <w:pStyle w:val="BodyText"/>
            </w:pPr>
            <w:r w:rsidRPr="00C15B2C">
              <w:t>4.7 Follow workplace health and safety</w:t>
            </w:r>
            <w:r w:rsidRPr="00C15B2C">
              <w:t xml:space="preserve"> policies and procedures when preparing materials</w:t>
            </w:r>
          </w:p>
        </w:tc>
      </w:tr>
    </w:tbl>
    <w:p w:rsidR="00000000" w:rsidRPr="00C15B2C" w:rsidP="00C15B2C">
      <w:pPr>
        <w:pStyle w:val="BodyText"/>
      </w:pPr>
    </w:p>
    <w:p w:rsidR="00000000" w:rsidRPr="00C15B2C" w:rsidP="00C15B2C">
      <w:pPr>
        <w:pStyle w:val="AllowPageBreak"/>
      </w:pPr>
    </w:p>
    <w:p w:rsidR="00000000" w:rsidRPr="00C15B2C" w:rsidP="00C15B2C">
      <w:pPr>
        <w:pStyle w:val="Heading1"/>
      </w:pPr>
      <w:bookmarkStart w:id="4" w:name="O_819341"/>
      <w:bookmarkEnd w:id="4"/>
      <w:r w:rsidRPr="00C15B2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8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B2C">
            <w:pPr>
              <w:pStyle w:val="BodyText"/>
              <w:rPr>
                <w:lang w:val="en-NZ"/>
              </w:rPr>
            </w:pPr>
            <w:r w:rsidRPr="00C15B2C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C15B2C">
              <w:rPr>
                <w:rStyle w:val="Emphasis"/>
              </w:rPr>
              <w:t xml:space="preserve">skills) that </w:t>
            </w:r>
            <w:r w:rsidRPr="00C15B2C">
              <w:t xml:space="preserve">are essential to </w:t>
            </w:r>
            <w:r w:rsidRPr="00C15B2C">
              <w:rPr>
                <w:rStyle w:val="Emphasis"/>
              </w:rPr>
              <w:t>performance.</w:t>
            </w:r>
          </w:p>
        </w:tc>
      </w:tr>
      <w:tr w:rsidTr="00C8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B2C" w:rsidP="00C15B2C">
            <w:pPr>
              <w:pStyle w:val="BodyText"/>
            </w:pPr>
            <w:r w:rsidRPr="00C15B2C">
              <w:t>Foundation skills essential to performance are explicit in the performance criteria of this unit of competency.</w:t>
            </w:r>
          </w:p>
        </w:tc>
      </w:tr>
    </w:tbl>
    <w:p w:rsidR="00C80A08" w:rsidP="00C15B2C">
      <w:pPr>
        <w:pStyle w:val="BodyText"/>
      </w:pPr>
    </w:p>
    <w:p w:rsidR="00C80A08" w:rsidP="00C15B2C">
      <w:pPr>
        <w:pStyle w:val="BodyText"/>
      </w:pPr>
    </w:p>
    <w:p w:rsidR="00000000" w:rsidRPr="00C15B2C" w:rsidP="00C15B2C">
      <w:pPr>
        <w:pStyle w:val="Heading1"/>
      </w:pPr>
      <w:bookmarkStart w:id="5" w:name="O_819343"/>
      <w:bookmarkEnd w:id="5"/>
      <w:r w:rsidRPr="00C15B2C">
        <w:t>Unit Mapping Information</w:t>
      </w:r>
    </w:p>
    <w:p w:rsidR="00000000" w:rsidRPr="00C15B2C" w:rsidP="00C80A08">
      <w:pPr>
        <w:pStyle w:val="BodyText"/>
      </w:pPr>
      <w:r w:rsidRPr="00C15B2C">
        <w:t xml:space="preserve">No Equivalent Unit </w:t>
      </w:r>
    </w:p>
    <w:p w:rsidR="00000000" w:rsidRPr="00C15B2C" w:rsidP="00C15B2C">
      <w:pPr>
        <w:pStyle w:val="Heading1"/>
      </w:pPr>
      <w:bookmarkStart w:id="6" w:name="O_819350"/>
      <w:bookmarkEnd w:id="6"/>
      <w:r w:rsidRPr="00C15B2C">
        <w:t>Links</w:t>
      </w:r>
    </w:p>
    <w:p w:rsidR="00000000" w:rsidRPr="00C15B2C" w:rsidP="00C80A08">
      <w:pPr>
        <w:pStyle w:val="BodyText"/>
      </w:pPr>
      <w:r w:rsidRPr="00C15B2C">
        <w:t>Companion Volume implementation guides are found in VETN</w:t>
      </w:r>
      <w:r w:rsidRPr="00C15B2C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7146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15B2C" w:rsidP="00C15B2C"/>
    <w:sectPr w:rsidSect="00C15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2C" w:rsidRPr="00C80A08" w:rsidP="00C80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08" w:rsidP="00C15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A08" w:rsidP="00C15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0A08" w:rsidP="00C15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B2C" w:rsidRPr="00C80A08" w:rsidP="00C80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08" w:rsidRPr="002D2AF8" w:rsidP="00C15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HLTDEP001 Identify, select and prepare instruments, equipment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80A08" w:rsidP="00C15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B2C"/>
  </w:style>
  <w:style w:type="character" w:customStyle="1" w:styleId="Heading1Char">
    <w:name w:val="Heading 1 Char"/>
    <w:basedOn w:val="DefaultParagraphFont"/>
    <w:link w:val="Heading1"/>
    <w:rsid w:val="00C15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B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5B2C"/>
    <w:rPr>
      <w:b/>
      <w:spacing w:val="0"/>
    </w:rPr>
  </w:style>
  <w:style w:type="character" w:styleId="Emphasis">
    <w:name w:val="Emphasis"/>
    <w:basedOn w:val="DefaultParagraphFont"/>
    <w:qFormat/>
    <w:rsid w:val="00C15B2C"/>
    <w:rPr>
      <w:i/>
    </w:rPr>
  </w:style>
  <w:style w:type="paragraph" w:customStyle="1" w:styleId="SuperHeading">
    <w:name w:val="SuperHeading"/>
    <w:basedOn w:val="Normal"/>
    <w:rsid w:val="00C15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B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B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5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B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B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B2C"/>
  </w:style>
  <w:style w:type="paragraph" w:styleId="TableofFigures">
    <w:name w:val="table of figures"/>
    <w:basedOn w:val="Normal"/>
    <w:next w:val="Normal"/>
    <w:semiHidden/>
    <w:rsid w:val="00C15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B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5B2C"/>
    <w:rPr>
      <w:rFonts w:ascii="Wingdings" w:hAnsi="Wingdings"/>
    </w:rPr>
  </w:style>
  <w:style w:type="paragraph" w:customStyle="1" w:styleId="TableHeading">
    <w:name w:val="Table Heading"/>
    <w:basedOn w:val="HeadingBase"/>
    <w:rsid w:val="00C15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B2C"/>
    <w:rPr>
      <w:color w:val="0033CC"/>
      <w:u w:val="none"/>
    </w:rPr>
  </w:style>
  <w:style w:type="paragraph" w:customStyle="1" w:styleId="BodyTextRight">
    <w:name w:val="Body Text Right"/>
    <w:basedOn w:val="BodyText"/>
    <w:rsid w:val="00C15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B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B2C"/>
    <w:rPr>
      <w:sz w:val="32"/>
    </w:rPr>
  </w:style>
  <w:style w:type="paragraph" w:customStyle="1" w:styleId="HeadingProcedure">
    <w:name w:val="Heading Procedure"/>
    <w:basedOn w:val="HeadingBase"/>
    <w:next w:val="Normal"/>
    <w:rsid w:val="00C15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B2C"/>
    <w:pPr>
      <w:spacing w:before="60" w:after="60"/>
    </w:pPr>
  </w:style>
  <w:style w:type="paragraph" w:styleId="ListContinue">
    <w:name w:val="List Continue"/>
    <w:basedOn w:val="List"/>
    <w:rsid w:val="00C15B2C"/>
    <w:pPr>
      <w:ind w:firstLine="0"/>
    </w:pPr>
  </w:style>
  <w:style w:type="paragraph" w:customStyle="1" w:styleId="ListNote">
    <w:name w:val="List Note"/>
    <w:basedOn w:val="List"/>
    <w:rsid w:val="00C15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B2C"/>
    <w:rPr>
      <w:rFonts w:ascii="Courier New" w:hAnsi="Courier New"/>
    </w:rPr>
  </w:style>
  <w:style w:type="paragraph" w:customStyle="1" w:styleId="NoteBullet">
    <w:name w:val="Note Bullet"/>
    <w:basedOn w:val="Note"/>
    <w:rsid w:val="00C15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B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5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B2C"/>
    <w:rPr>
      <w:b/>
      <w:smallCaps/>
    </w:rPr>
  </w:style>
  <w:style w:type="paragraph" w:customStyle="1" w:styleId="TableListNumber">
    <w:name w:val="Table List Number"/>
    <w:basedOn w:val="ListNumber"/>
    <w:rsid w:val="00C15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B2C"/>
    <w:pPr>
      <w:numPr>
        <w:numId w:val="7"/>
      </w:numPr>
    </w:pPr>
  </w:style>
  <w:style w:type="paragraph" w:customStyle="1" w:styleId="ListAlpha2">
    <w:name w:val="List Alpha 2"/>
    <w:basedOn w:val="List2"/>
    <w:rsid w:val="00C15B2C"/>
    <w:pPr>
      <w:numPr>
        <w:numId w:val="6"/>
      </w:numPr>
    </w:pPr>
  </w:style>
  <w:style w:type="paragraph" w:styleId="List2">
    <w:name w:val="List 2"/>
    <w:basedOn w:val="BodyText"/>
    <w:rsid w:val="00C15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B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B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5B2C"/>
    <w:pPr>
      <w:numPr>
        <w:numId w:val="2"/>
      </w:numPr>
    </w:pPr>
  </w:style>
  <w:style w:type="paragraph" w:styleId="ListContinue2">
    <w:name w:val="List Continue 2"/>
    <w:basedOn w:val="List2"/>
    <w:rsid w:val="00C15B2C"/>
    <w:pPr>
      <w:ind w:firstLine="0"/>
    </w:pPr>
  </w:style>
  <w:style w:type="paragraph" w:styleId="ListContinue3">
    <w:name w:val="List Continue 3"/>
    <w:basedOn w:val="List3"/>
    <w:rsid w:val="00C15B2C"/>
    <w:pPr>
      <w:ind w:left="1021" w:firstLine="0"/>
    </w:pPr>
  </w:style>
  <w:style w:type="paragraph" w:styleId="ListContinue4">
    <w:name w:val="List Continue 4"/>
    <w:basedOn w:val="List4"/>
    <w:rsid w:val="00C15B2C"/>
    <w:pPr>
      <w:ind w:firstLine="0"/>
    </w:pPr>
  </w:style>
  <w:style w:type="paragraph" w:styleId="ListContinue5">
    <w:name w:val="List Continue 5"/>
    <w:basedOn w:val="List5"/>
    <w:rsid w:val="00C15B2C"/>
    <w:pPr>
      <w:ind w:firstLine="0"/>
    </w:pPr>
  </w:style>
  <w:style w:type="paragraph" w:styleId="ListNumber3">
    <w:name w:val="List Number 3"/>
    <w:basedOn w:val="List3"/>
    <w:rsid w:val="00C15B2C"/>
    <w:pPr>
      <w:numPr>
        <w:numId w:val="3"/>
      </w:numPr>
    </w:pPr>
  </w:style>
  <w:style w:type="paragraph" w:styleId="ListNumber4">
    <w:name w:val="List Number 4"/>
    <w:basedOn w:val="List4"/>
    <w:rsid w:val="00C15B2C"/>
    <w:pPr>
      <w:numPr>
        <w:numId w:val="4"/>
      </w:numPr>
    </w:pPr>
  </w:style>
  <w:style w:type="paragraph" w:styleId="ListNumber5">
    <w:name w:val="List Number 5"/>
    <w:basedOn w:val="List5"/>
    <w:rsid w:val="00C15B2C"/>
    <w:pPr>
      <w:numPr>
        <w:numId w:val="5"/>
      </w:numPr>
    </w:pPr>
  </w:style>
  <w:style w:type="paragraph" w:styleId="BlockText">
    <w:name w:val="Block Text"/>
    <w:basedOn w:val="Normal"/>
    <w:rsid w:val="00C15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B2C"/>
    <w:rPr>
      <w:sz w:val="16"/>
      <w:vertAlign w:val="superscript"/>
    </w:rPr>
  </w:style>
  <w:style w:type="character" w:customStyle="1" w:styleId="Symbols">
    <w:name w:val="Symbols"/>
    <w:basedOn w:val="DefaultParagraphFont"/>
    <w:rsid w:val="00C15B2C"/>
    <w:rPr>
      <w:rFonts w:ascii="Symbol" w:hAnsi="Symbol"/>
    </w:rPr>
  </w:style>
  <w:style w:type="character" w:customStyle="1" w:styleId="MenuOptions">
    <w:name w:val="Menu Options"/>
    <w:basedOn w:val="DefaultParagraphFont"/>
    <w:rsid w:val="00C15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B2C"/>
    <w:rPr>
      <w:b/>
    </w:rPr>
  </w:style>
  <w:style w:type="character" w:customStyle="1" w:styleId="Underlined">
    <w:name w:val="Underlined"/>
    <w:basedOn w:val="DefaultParagraphFont"/>
    <w:rsid w:val="00C15B2C"/>
    <w:rPr>
      <w:u w:val="single"/>
    </w:rPr>
  </w:style>
  <w:style w:type="paragraph" w:customStyle="1" w:styleId="TableBodyTextRight">
    <w:name w:val="Table Body Text Right"/>
    <w:basedOn w:val="TableBodyText"/>
    <w:rsid w:val="00C15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B2C"/>
    <w:rPr>
      <w:sz w:val="18"/>
    </w:rPr>
  </w:style>
  <w:style w:type="paragraph" w:customStyle="1" w:styleId="BodySmallRight">
    <w:name w:val="Body Small Right"/>
    <w:basedOn w:val="BodyTextRight"/>
    <w:rsid w:val="00C15B2C"/>
    <w:rPr>
      <w:sz w:val="18"/>
      <w:szCs w:val="18"/>
    </w:rPr>
  </w:style>
  <w:style w:type="paragraph" w:customStyle="1" w:styleId="MarginEdition">
    <w:name w:val="Margin Edition"/>
    <w:basedOn w:val="MarginNote"/>
    <w:rsid w:val="00C15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B2C"/>
    <w:rPr>
      <w:sz w:val="2"/>
      <w:szCs w:val="2"/>
    </w:rPr>
  </w:style>
  <w:style w:type="character" w:customStyle="1" w:styleId="Small">
    <w:name w:val="Small"/>
    <w:basedOn w:val="DefaultParagraphFont"/>
    <w:rsid w:val="00C15B2C"/>
    <w:rPr>
      <w:sz w:val="16"/>
    </w:rPr>
  </w:style>
  <w:style w:type="paragraph" w:customStyle="1" w:styleId="WideTable">
    <w:name w:val="Wide Table"/>
    <w:basedOn w:val="Normal"/>
    <w:rsid w:val="00C15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B2C"/>
  </w:style>
  <w:style w:type="paragraph" w:styleId="Quote">
    <w:name w:val="Quote"/>
    <w:basedOn w:val="Heading1"/>
    <w:link w:val="QuoteChar"/>
    <w:qFormat/>
    <w:rsid w:val="00C15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B2C"/>
    <w:pPr>
      <w:pageBreakBefore/>
    </w:pPr>
  </w:style>
  <w:style w:type="paragraph" w:customStyle="1" w:styleId="Border">
    <w:name w:val="Border"/>
    <w:basedOn w:val="Normal"/>
    <w:qFormat/>
    <w:rsid w:val="00C15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B2C"/>
    <w:rPr>
      <w:u w:val="single"/>
    </w:rPr>
  </w:style>
  <w:style w:type="character" w:customStyle="1" w:styleId="BoldandItalics">
    <w:name w:val="Bold and Italics"/>
    <w:qFormat/>
    <w:rsid w:val="00C15B2C"/>
    <w:rPr>
      <w:b/>
      <w:i/>
      <w:u w:val="none"/>
    </w:rPr>
  </w:style>
  <w:style w:type="paragraph" w:styleId="BalloonText">
    <w:name w:val="Balloon Text"/>
    <w:basedOn w:val="Normal"/>
    <w:link w:val="BalloonTextChar"/>
    <w:rsid w:val="00C15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B2C"/>
    <w:pPr>
      <w:spacing w:before="0" w:after="0"/>
    </w:pPr>
  </w:style>
  <w:style w:type="paragraph" w:customStyle="1" w:styleId="BodyTextBold">
    <w:name w:val="Body Text Bold"/>
    <w:basedOn w:val="BodyText"/>
    <w:qFormat/>
    <w:rsid w:val="00C15B2C"/>
    <w:rPr>
      <w:b/>
    </w:rPr>
  </w:style>
  <w:style w:type="character" w:styleId="Hyperlink">
    <w:name w:val="Hyperlink"/>
    <w:basedOn w:val="DefaultParagraphFont"/>
    <w:uiPriority w:val="99"/>
    <w:unhideWhenUsed/>
    <w:rsid w:val="00C80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3192</Characters>
  <Application>Microsoft Office Word</Application>
  <DocSecurity>0</DocSecurity>
  <Lines>106</Lines>
  <Paragraphs>55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HLTDEP001 Identify, select and prepare instruments, equipment and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