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502C" w:rsidP="00B850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HLTDEN030 Assist the dental practitioner during medical emergencies in a dental setting</w:t>
      </w:r>
      <w:r>
        <w:fldChar w:fldCharType="end"/>
      </w:r>
    </w:p>
    <w:p w:rsidR="00B8502C" w:rsidP="00B8502C">
      <w:pPr>
        <w:pStyle w:val="Version"/>
        <w:sectPr w:rsidSect="00D029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29C3" w:rsidP="00D029C3">
      <w:pPr>
        <w:pStyle w:val="SuperHeading"/>
      </w:pPr>
      <w:r w:rsidRPr="00D029C3">
        <w:t>HLTDEN030</w:t>
      </w:r>
      <w:r w:rsidRPr="00D029C3">
        <w:t xml:space="preserve"> Assist the dental practitioner during medical emergencies in a dental setting</w:t>
      </w:r>
    </w:p>
    <w:p w:rsidR="00000000" w:rsidRPr="00D029C3" w:rsidP="00D029C3">
      <w:pPr>
        <w:pStyle w:val="Heading1"/>
      </w:pPr>
      <w:bookmarkStart w:id="1" w:name="O_1201144"/>
      <w:bookmarkEnd w:id="1"/>
      <w:r w:rsidRPr="00D029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D02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029C3" w:rsidP="00D029C3">
            <w:pPr>
              <w:pStyle w:val="BodyText"/>
            </w:pPr>
            <w:r w:rsidRPr="00D029C3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29C3">
            <w:pPr>
              <w:pStyle w:val="BodyText"/>
              <w:rPr>
                <w:lang w:val="en-NZ"/>
              </w:rPr>
            </w:pPr>
            <w:r w:rsidRPr="00D029C3">
              <w:rPr>
                <w:rStyle w:val="SpecialBold"/>
              </w:rPr>
              <w:t>Comments</w:t>
            </w:r>
          </w:p>
        </w:tc>
      </w:tr>
      <w:tr w:rsidTr="00D02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C3">
            <w:pPr>
              <w:pStyle w:val="BodyText"/>
              <w:rPr>
                <w:lang w:val="en-NZ"/>
              </w:rPr>
            </w:pPr>
            <w:r w:rsidRPr="00D029C3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C3" w:rsidP="00D029C3">
            <w:pPr>
              <w:pStyle w:val="BodyText"/>
            </w:pPr>
            <w:r w:rsidRPr="00D029C3">
              <w:t xml:space="preserve">Release 2 HLTDEN030 Assist the dental practitioner during medical emergencies in a dental setting supersedes and is equivalent to Release 1 HLTDEN030 Assist the dental practitioner during medical emergencies in a dental setting. </w:t>
            </w:r>
          </w:p>
          <w:p w:rsidR="00000000" w:rsidRPr="00D029C3" w:rsidP="00D029C3">
            <w:pPr>
              <w:pStyle w:val="BodyText"/>
            </w:pPr>
            <w:r w:rsidRPr="00D029C3">
              <w:t>Updated:</w:t>
            </w:r>
          </w:p>
          <w:p w:rsidR="00000000" w:rsidP="00D029C3">
            <w:pPr>
              <w:pStyle w:val="BodyText"/>
              <w:rPr>
                <w:lang w:val="en-NZ"/>
              </w:rPr>
            </w:pPr>
            <w:r w:rsidRPr="00D029C3">
              <w:t>Mapping details a</w:t>
            </w:r>
            <w:r w:rsidRPr="00D029C3">
              <w:t>nd minor corrections.</w:t>
            </w:r>
          </w:p>
        </w:tc>
      </w:tr>
      <w:tr w:rsidTr="00D02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C3">
            <w:pPr>
              <w:pStyle w:val="BodyText"/>
              <w:rPr>
                <w:lang w:val="en-NZ"/>
              </w:rPr>
            </w:pPr>
            <w:r w:rsidRPr="00D029C3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C3" w:rsidP="00D029C3">
            <w:pPr>
              <w:pStyle w:val="BodyText"/>
            </w:pPr>
            <w:r w:rsidRPr="00D029C3">
              <w:t>HLTDEN030 Assist the dental practitioner during medical emergencies in a dental setting no equivalent unit.</w:t>
            </w:r>
          </w:p>
        </w:tc>
      </w:tr>
    </w:tbl>
    <w:p w:rsidR="00000000" w:rsidRPr="00D029C3" w:rsidP="00D029C3">
      <w:pPr>
        <w:pStyle w:val="BodyText"/>
      </w:pPr>
    </w:p>
    <w:p w:rsidR="00000000" w:rsidRPr="00D029C3" w:rsidP="00D029C3">
      <w:pPr>
        <w:pStyle w:val="AllowPageBreak"/>
      </w:pPr>
    </w:p>
    <w:p w:rsidR="00000000" w:rsidRPr="00D029C3" w:rsidP="00D029C3">
      <w:pPr>
        <w:pStyle w:val="Heading1"/>
      </w:pPr>
      <w:bookmarkStart w:id="2" w:name="O_1201143"/>
      <w:bookmarkEnd w:id="2"/>
      <w:r w:rsidRPr="00D029C3">
        <w:t>Application</w:t>
      </w:r>
    </w:p>
    <w:p w:rsidR="00000000" w:rsidRPr="00D029C3" w:rsidP="00B8502C">
      <w:pPr>
        <w:pStyle w:val="BodyText"/>
      </w:pPr>
      <w:r w:rsidRPr="00D029C3">
        <w:t>This unit of competency describes the performance outcomes, skills and knowledge required to assist the dentist or dental specialist with patient care during medical emergencies in a dental setting.</w:t>
      </w:r>
    </w:p>
    <w:p w:rsidR="00000000" w:rsidRPr="00D029C3" w:rsidP="00B8502C">
      <w:pPr>
        <w:pStyle w:val="BodyText"/>
      </w:pPr>
      <w:r w:rsidRPr="00D029C3">
        <w:t>This unit applies to dental assistants and those carrying</w:t>
      </w:r>
      <w:r w:rsidRPr="00D029C3">
        <w:t xml:space="preserve"> out dental assisting work.</w:t>
      </w:r>
    </w:p>
    <w:p w:rsidR="00000000" w:rsidRPr="00D029C3" w:rsidP="00B8502C">
      <w:pPr>
        <w:pStyle w:val="BodyText"/>
      </w:pPr>
      <w:r w:rsidRPr="00D029C3">
        <w:t>The skills in this unit must be applied in accordance with Commonwealth and State/Territory legislation, Australian standards and industry codes of practice.</w:t>
      </w:r>
    </w:p>
    <w:p w:rsidR="00000000" w:rsidRPr="00D029C3" w:rsidP="00B8502C">
      <w:pPr>
        <w:pStyle w:val="BodyText"/>
      </w:pPr>
      <w:r w:rsidRPr="00D029C3">
        <w:t>No occupational licensing, certification or specific legislative requi</w:t>
      </w:r>
      <w:r w:rsidRPr="00D029C3">
        <w:t>rements apply to this unit at the time of publication.</w:t>
      </w:r>
    </w:p>
    <w:p w:rsidR="00000000" w:rsidRPr="00D029C3" w:rsidP="00D029C3">
      <w:pPr>
        <w:pStyle w:val="Heading1"/>
      </w:pPr>
      <w:bookmarkStart w:id="3" w:name="O_1201142"/>
      <w:bookmarkEnd w:id="3"/>
      <w:r w:rsidRPr="00D029C3">
        <w:t>Pre-requisite Unit</w:t>
      </w:r>
    </w:p>
    <w:p w:rsidR="00000000" w:rsidRPr="00D029C3" w:rsidP="00B8502C">
      <w:pPr>
        <w:pStyle w:val="BodyText"/>
      </w:pPr>
      <w:r w:rsidRPr="00D029C3">
        <w:t>Nil</w:t>
      </w:r>
    </w:p>
    <w:p w:rsidR="00000000" w:rsidRPr="00D029C3" w:rsidP="00D029C3">
      <w:pPr>
        <w:pStyle w:val="Heading1"/>
      </w:pPr>
      <w:bookmarkStart w:id="4" w:name="O_1201141"/>
      <w:bookmarkEnd w:id="4"/>
      <w:r w:rsidRPr="00D029C3">
        <w:t>Competency Field</w:t>
      </w:r>
    </w:p>
    <w:p w:rsidR="00000000" w:rsidRPr="00D029C3" w:rsidP="00B8502C">
      <w:pPr>
        <w:pStyle w:val="BodyText"/>
      </w:pPr>
      <w:r w:rsidRPr="00D029C3">
        <w:t>Dental Assisting</w:t>
      </w:r>
    </w:p>
    <w:p w:rsidR="00000000" w:rsidRPr="00D029C3" w:rsidP="00D029C3">
      <w:pPr>
        <w:pStyle w:val="Heading1"/>
      </w:pPr>
      <w:bookmarkStart w:id="5" w:name="O_1201140"/>
      <w:bookmarkEnd w:id="5"/>
      <w:r w:rsidRPr="00D029C3">
        <w:t>Unit Sector</w:t>
      </w:r>
    </w:p>
    <w:p w:rsidR="00000000" w:rsidRPr="00D029C3" w:rsidP="00B8502C">
      <w:pPr>
        <w:pStyle w:val="BodyText"/>
      </w:pPr>
      <w:r w:rsidRPr="00D029C3">
        <w:t>Dental</w:t>
      </w:r>
    </w:p>
    <w:p w:rsidR="00000000" w:rsidRPr="00D029C3" w:rsidP="00D029C3">
      <w:pPr>
        <w:pStyle w:val="Heading1"/>
      </w:pPr>
      <w:bookmarkStart w:id="6" w:name="O_1201139"/>
      <w:bookmarkEnd w:id="6"/>
      <w:r w:rsidRPr="00D029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02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C3" w:rsidP="00D029C3">
            <w:pPr>
              <w:pStyle w:val="BodyText"/>
            </w:pPr>
            <w:r w:rsidRPr="00D029C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C3">
            <w:pPr>
              <w:pStyle w:val="BodyText"/>
              <w:rPr>
                <w:lang w:val="en-NZ"/>
              </w:rPr>
            </w:pPr>
            <w:r w:rsidRPr="00D029C3">
              <w:rPr>
                <w:rStyle w:val="SpecialBold"/>
              </w:rPr>
              <w:t>PERFOR</w:t>
            </w:r>
            <w:r w:rsidRPr="00D029C3">
              <w:rPr>
                <w:rStyle w:val="SpecialBold"/>
              </w:rPr>
              <w:t>MANCE</w:t>
            </w:r>
            <w:r w:rsidRPr="00D029C3">
              <w:t xml:space="preserve"> </w:t>
            </w:r>
            <w:r w:rsidRPr="00D029C3">
              <w:rPr>
                <w:rStyle w:val="SpecialBold"/>
              </w:rPr>
              <w:t>CRITERIA</w:t>
            </w:r>
          </w:p>
        </w:tc>
      </w:tr>
      <w:tr w:rsidTr="00D02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C3" w:rsidP="00D029C3">
            <w:pPr>
              <w:pStyle w:val="BodyText"/>
            </w:pPr>
            <w:r w:rsidRPr="00D029C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C3">
            <w:pPr>
              <w:pStyle w:val="BodyText"/>
              <w:rPr>
                <w:lang w:val="en-NZ"/>
              </w:rPr>
            </w:pPr>
            <w:r w:rsidRPr="00D029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2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C3">
            <w:pPr>
              <w:pStyle w:val="List"/>
              <w:rPr>
                <w:lang w:val="en-NZ"/>
              </w:rPr>
            </w:pPr>
            <w:r w:rsidRPr="00D029C3">
              <w:t>1.  Prepare for medical emergencies.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C3" w:rsidP="00D029C3">
            <w:pPr>
              <w:pStyle w:val="List"/>
            </w:pPr>
            <w:r w:rsidRPr="00D029C3">
              <w:t>1.1. Check expiry of medicaments used during medical emergencies.</w:t>
            </w:r>
          </w:p>
          <w:p w:rsidR="00000000" w:rsidRPr="00D029C3" w:rsidP="00D029C3">
            <w:pPr>
              <w:pStyle w:val="List"/>
            </w:pPr>
            <w:r w:rsidRPr="00D029C3">
              <w:t>1.2. Check first aid supplies and operational status of equipment.</w:t>
            </w:r>
          </w:p>
          <w:p w:rsidR="00000000" w:rsidP="00D029C3">
            <w:pPr>
              <w:pStyle w:val="List"/>
              <w:rPr>
                <w:lang w:val="en-NZ"/>
              </w:rPr>
            </w:pPr>
            <w:r w:rsidRPr="00D029C3">
              <w:t>1.3. Locate and have readily available onsite first aid kit.</w:t>
            </w:r>
          </w:p>
        </w:tc>
      </w:tr>
      <w:tr w:rsidTr="00D02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C3">
            <w:pPr>
              <w:pStyle w:val="List"/>
              <w:rPr>
                <w:lang w:val="en-NZ"/>
              </w:rPr>
            </w:pPr>
            <w:r w:rsidRPr="00D029C3">
              <w:t>2.  Respond to a medical emergency.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C3" w:rsidP="00D029C3">
            <w:pPr>
              <w:pStyle w:val="List"/>
            </w:pPr>
            <w:r w:rsidRPr="00D029C3">
              <w:t>2.1. Recognise indicators that signify a medical emergency.</w:t>
            </w:r>
          </w:p>
          <w:p w:rsidR="00000000" w:rsidRPr="00D029C3" w:rsidP="00D029C3">
            <w:pPr>
              <w:pStyle w:val="List"/>
            </w:pPr>
            <w:r w:rsidRPr="00D029C3">
              <w:t>2.2. Identify and minimise imm</w:t>
            </w:r>
            <w:r w:rsidRPr="00D029C3">
              <w:t>ediate risks to health and safety of self and others.</w:t>
            </w:r>
          </w:p>
          <w:p w:rsidR="00000000" w:rsidP="00D029C3">
            <w:pPr>
              <w:pStyle w:val="List"/>
              <w:rPr>
                <w:lang w:val="en-NZ"/>
              </w:rPr>
            </w:pPr>
            <w:r w:rsidRPr="00D029C3">
              <w:t>2.3. Provide assistance as directed by the dental practitioner.</w:t>
            </w:r>
          </w:p>
        </w:tc>
      </w:tr>
      <w:tr w:rsidTr="00D02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C3">
            <w:pPr>
              <w:pStyle w:val="List"/>
              <w:rPr>
                <w:lang w:val="en-NZ"/>
              </w:rPr>
            </w:pPr>
            <w:r w:rsidRPr="00D029C3">
              <w:t>3.  Assist with dental medical emergencies.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C3" w:rsidP="00D029C3">
            <w:pPr>
              <w:pStyle w:val="List"/>
            </w:pPr>
            <w:r w:rsidRPr="00D029C3">
              <w:t>3.1. Use appropriate procedure as required to assist</w:t>
            </w:r>
            <w:r w:rsidRPr="00D029C3">
              <w:t xml:space="preserve"> the dental practitioner to manage a patient with low blood pressure.</w:t>
            </w:r>
          </w:p>
          <w:p w:rsidR="00000000" w:rsidRPr="00D029C3" w:rsidP="00D029C3">
            <w:pPr>
              <w:pStyle w:val="List"/>
            </w:pPr>
            <w:r w:rsidRPr="00D029C3">
              <w:t>3.2. Use appropriate procedure as required to assist the dental practitioner to manage a patient with a cardiac emergency.</w:t>
            </w:r>
          </w:p>
          <w:p w:rsidR="00000000" w:rsidRPr="00D029C3" w:rsidP="00D029C3">
            <w:pPr>
              <w:pStyle w:val="List"/>
            </w:pPr>
            <w:r w:rsidRPr="00D029C3">
              <w:t>3.3. Use appropriate procedure, medicaments and equipment as re</w:t>
            </w:r>
            <w:r w:rsidRPr="00D029C3">
              <w:t>quired to assist the dental practitioner to manage a patient with a diabetic emergency.</w:t>
            </w:r>
          </w:p>
          <w:p w:rsidR="00000000" w:rsidP="00D029C3">
            <w:pPr>
              <w:pStyle w:val="List"/>
              <w:rPr>
                <w:lang w:val="en-NZ"/>
              </w:rPr>
            </w:pPr>
            <w:r w:rsidRPr="00D029C3">
              <w:t>3.4. Use appropriate procedure, medicaments and equipment as required to assist the dental practitioner to manage a patient with an allergy emergency.</w:t>
            </w:r>
          </w:p>
        </w:tc>
      </w:tr>
      <w:tr w:rsidTr="00D02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C3">
            <w:pPr>
              <w:pStyle w:val="List"/>
              <w:rPr>
                <w:lang w:val="en-NZ"/>
              </w:rPr>
            </w:pPr>
            <w:r w:rsidRPr="00D029C3">
              <w:t>4.   Seek assist</w:t>
            </w:r>
            <w:r w:rsidRPr="00D029C3">
              <w:t>ance from emergency response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C3" w:rsidP="00D029C3">
            <w:pPr>
              <w:pStyle w:val="List"/>
            </w:pPr>
            <w:r w:rsidRPr="00D029C3">
              <w:t>4.1. Recognise situations requiring a response from emergency services.</w:t>
            </w:r>
          </w:p>
          <w:p w:rsidR="00000000" w:rsidRPr="00D029C3" w:rsidP="00D029C3">
            <w:pPr>
              <w:pStyle w:val="List"/>
            </w:pPr>
            <w:r w:rsidRPr="00D029C3">
              <w:t>4.2. Follow organisational policies and procedures to contact emergency response services.</w:t>
            </w:r>
          </w:p>
          <w:p w:rsidR="00000000" w:rsidRPr="00D029C3" w:rsidP="00D029C3">
            <w:pPr>
              <w:pStyle w:val="List"/>
            </w:pPr>
            <w:r w:rsidRPr="00D029C3">
              <w:t>4.3. Provide emergency response services with accurate</w:t>
            </w:r>
            <w:r w:rsidRPr="00D029C3">
              <w:t xml:space="preserve"> medical details regarding the medical emergency.</w:t>
            </w:r>
          </w:p>
          <w:p w:rsidR="00000000" w:rsidP="00D029C3">
            <w:pPr>
              <w:pStyle w:val="List"/>
              <w:rPr>
                <w:lang w:val="en-NZ"/>
              </w:rPr>
            </w:pPr>
            <w:r w:rsidRPr="00D029C3">
              <w:t>4.4. Provide required details of the physical location of the patient including address and access requirements.</w:t>
            </w:r>
          </w:p>
        </w:tc>
      </w:tr>
      <w:tr w:rsidTr="00D02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C3">
            <w:pPr>
              <w:pStyle w:val="List"/>
              <w:rPr>
                <w:lang w:val="en-NZ"/>
              </w:rPr>
            </w:pPr>
            <w:r w:rsidRPr="00D029C3">
              <w:t>5.  Assist with maintaining patient comfort.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C3" w:rsidP="00D029C3">
            <w:pPr>
              <w:pStyle w:val="List"/>
            </w:pPr>
            <w:r w:rsidRPr="00D029C3">
              <w:t>5.1. Assist with ensuring physical comfort of the patient.</w:t>
            </w:r>
          </w:p>
          <w:p w:rsidR="00000000" w:rsidP="00D029C3">
            <w:pPr>
              <w:pStyle w:val="List"/>
              <w:rPr>
                <w:lang w:val="en-NZ"/>
              </w:rPr>
            </w:pPr>
            <w:r w:rsidRPr="00D029C3">
              <w:t>5.2. Provide verbal reassurance and support to the patient.</w:t>
            </w:r>
          </w:p>
        </w:tc>
      </w:tr>
      <w:tr w:rsidTr="00D02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9C3">
            <w:pPr>
              <w:pStyle w:val="List"/>
              <w:rPr>
                <w:lang w:val="en-NZ"/>
              </w:rPr>
            </w:pPr>
            <w:r w:rsidRPr="00D029C3">
              <w:t>6.  Record details of the emergency.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9C3" w:rsidP="00D029C3">
            <w:pPr>
              <w:pStyle w:val="List"/>
            </w:pPr>
            <w:r w:rsidRPr="00D029C3">
              <w:t>6.1. Document incident details as directed by the dental practitioner according to organisational p</w:t>
            </w:r>
            <w:r w:rsidRPr="00D029C3">
              <w:t>olicies and procedures.</w:t>
            </w:r>
          </w:p>
          <w:p w:rsidR="00000000" w:rsidRPr="00D029C3" w:rsidP="00D029C3">
            <w:pPr>
              <w:pStyle w:val="List"/>
            </w:pPr>
            <w:r w:rsidRPr="00D029C3">
              <w:t>6.2. Maintain confidentiality of patient information.</w:t>
            </w:r>
          </w:p>
          <w:p w:rsidR="00000000" w:rsidRPr="00D029C3" w:rsidP="00D029C3">
            <w:pPr>
              <w:pStyle w:val="List"/>
            </w:pPr>
            <w:r w:rsidRPr="00D029C3">
              <w:t>6.3. Follow organisational policies and procedures when required to disclose patient information to others.</w:t>
            </w:r>
          </w:p>
        </w:tc>
      </w:tr>
    </w:tbl>
    <w:p w:rsidR="00B8502C" w:rsidP="00D029C3">
      <w:pPr>
        <w:pStyle w:val="List"/>
      </w:pPr>
    </w:p>
    <w:p w:rsidR="00B8502C" w:rsidP="00D029C3">
      <w:pPr>
        <w:pStyle w:val="List"/>
      </w:pPr>
    </w:p>
    <w:p w:rsidR="00000000" w:rsidRPr="00D029C3" w:rsidP="00D029C3">
      <w:pPr>
        <w:pStyle w:val="Heading1"/>
      </w:pPr>
      <w:bookmarkStart w:id="7" w:name="O_1201138"/>
      <w:bookmarkEnd w:id="7"/>
      <w:r w:rsidRPr="00D029C3">
        <w:t>Foundation Skills</w:t>
      </w:r>
    </w:p>
    <w:p w:rsidR="00000000" w:rsidRPr="00D029C3" w:rsidP="00B8502C">
      <w:pPr>
        <w:pStyle w:val="BodyText"/>
      </w:pPr>
      <w:r w:rsidRPr="00D029C3">
        <w:t>Foundation skills essential to</w:t>
      </w:r>
      <w:r w:rsidRPr="00D029C3">
        <w:t xml:space="preserve"> performance are explicit in the performance criteria of this unit of competency.</w:t>
      </w:r>
    </w:p>
    <w:p w:rsidR="00000000" w:rsidRPr="00D029C3" w:rsidP="00D029C3">
      <w:pPr>
        <w:pStyle w:val="Heading1"/>
      </w:pPr>
      <w:bookmarkStart w:id="8" w:name="O_1201137"/>
      <w:bookmarkEnd w:id="8"/>
      <w:r w:rsidRPr="00D029C3">
        <w:t>Unit Mapping Information</w:t>
      </w:r>
    </w:p>
    <w:p w:rsidR="00000000" w:rsidRPr="00D029C3" w:rsidP="00B8502C">
      <w:pPr>
        <w:pStyle w:val="BodyText"/>
      </w:pPr>
      <w:r w:rsidRPr="00D029C3">
        <w:t>No equivalent unit.</w:t>
      </w:r>
    </w:p>
    <w:p w:rsidR="00000000" w:rsidRPr="00D029C3" w:rsidP="00D029C3">
      <w:pPr>
        <w:pStyle w:val="Heading1"/>
      </w:pPr>
      <w:bookmarkStart w:id="9" w:name="O_1201145"/>
      <w:bookmarkEnd w:id="9"/>
      <w:r w:rsidRPr="00D029C3">
        <w:t>Links</w:t>
      </w:r>
    </w:p>
    <w:p w:rsidR="00000000" w:rsidRPr="00D029C3" w:rsidP="00B8502C">
      <w:pPr>
        <w:pStyle w:val="BodyText"/>
      </w:pPr>
      <w:r w:rsidRPr="00D029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1139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029C3" w:rsidP="00D029C3"/>
    <w:sectPr w:rsidSect="00D029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9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9C3" w:rsidRPr="00B8502C" w:rsidP="00B850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9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2C" w:rsidP="00D029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502C" w:rsidP="00D029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8502C" w:rsidP="00D029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9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9C3" w:rsidRPr="00B8502C" w:rsidP="00B850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9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2C" w:rsidRPr="002D2AF8" w:rsidP="00D029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HLTDEN030 Assist the dental practitioner during medical emergencies in a dental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8502C" w:rsidP="00D029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9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9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9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9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9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9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9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9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9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9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9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9C3"/>
  </w:style>
  <w:style w:type="character" w:customStyle="1" w:styleId="Heading1Char">
    <w:name w:val="Heading 1 Char"/>
    <w:basedOn w:val="DefaultParagraphFont"/>
    <w:link w:val="Heading1"/>
    <w:rsid w:val="00D029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9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9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29C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029C3"/>
    <w:rPr>
      <w:b/>
      <w:spacing w:val="0"/>
    </w:rPr>
  </w:style>
  <w:style w:type="character" w:styleId="Emphasis">
    <w:name w:val="Emphasis"/>
    <w:basedOn w:val="DefaultParagraphFont"/>
    <w:qFormat/>
    <w:rsid w:val="00D029C3"/>
    <w:rPr>
      <w:i/>
    </w:rPr>
  </w:style>
  <w:style w:type="paragraph" w:customStyle="1" w:styleId="SuperHeading">
    <w:name w:val="SuperHeading"/>
    <w:basedOn w:val="Normal"/>
    <w:rsid w:val="00D029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9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9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9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9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9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9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9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9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9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9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9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9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9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9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9C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029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29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9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9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9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29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29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9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9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9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9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9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9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9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9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29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9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9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9C3"/>
  </w:style>
  <w:style w:type="paragraph" w:styleId="TableofFigures">
    <w:name w:val="table of figures"/>
    <w:basedOn w:val="Normal"/>
    <w:next w:val="Normal"/>
    <w:semiHidden/>
    <w:rsid w:val="00D029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9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29C3"/>
    <w:rPr>
      <w:rFonts w:ascii="Wingdings" w:hAnsi="Wingdings"/>
    </w:rPr>
  </w:style>
  <w:style w:type="paragraph" w:customStyle="1" w:styleId="TableHeading">
    <w:name w:val="Table Heading"/>
    <w:basedOn w:val="HeadingBase"/>
    <w:rsid w:val="00D029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9C3"/>
    <w:rPr>
      <w:color w:val="0033CC"/>
      <w:u w:val="none"/>
    </w:rPr>
  </w:style>
  <w:style w:type="paragraph" w:customStyle="1" w:styleId="BodyTextRight">
    <w:name w:val="Body Text Right"/>
    <w:basedOn w:val="BodyText"/>
    <w:rsid w:val="00D029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9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9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9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9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9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9C3"/>
    <w:rPr>
      <w:sz w:val="32"/>
    </w:rPr>
  </w:style>
  <w:style w:type="paragraph" w:customStyle="1" w:styleId="HeadingProcedure">
    <w:name w:val="Heading Procedure"/>
    <w:basedOn w:val="HeadingBase"/>
    <w:next w:val="Normal"/>
    <w:rsid w:val="00D029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9C3"/>
    <w:pPr>
      <w:spacing w:before="60" w:after="60"/>
    </w:pPr>
  </w:style>
  <w:style w:type="paragraph" w:styleId="ListContinue">
    <w:name w:val="List Continue"/>
    <w:basedOn w:val="List"/>
    <w:rsid w:val="00D029C3"/>
    <w:pPr>
      <w:ind w:firstLine="0"/>
    </w:pPr>
  </w:style>
  <w:style w:type="paragraph" w:customStyle="1" w:styleId="ListNote">
    <w:name w:val="List Note"/>
    <w:basedOn w:val="List"/>
    <w:rsid w:val="00D029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9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9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9C3"/>
    <w:rPr>
      <w:rFonts w:ascii="Courier New" w:hAnsi="Courier New"/>
    </w:rPr>
  </w:style>
  <w:style w:type="paragraph" w:customStyle="1" w:styleId="NoteBullet">
    <w:name w:val="Note Bullet"/>
    <w:basedOn w:val="Note"/>
    <w:rsid w:val="00D029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9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9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9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9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29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9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9C3"/>
    <w:rPr>
      <w:b/>
      <w:smallCaps/>
    </w:rPr>
  </w:style>
  <w:style w:type="paragraph" w:customStyle="1" w:styleId="TableListNumber">
    <w:name w:val="Table List Number"/>
    <w:basedOn w:val="ListNumber"/>
    <w:rsid w:val="00D029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9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9C3"/>
    <w:pPr>
      <w:numPr>
        <w:numId w:val="7"/>
      </w:numPr>
    </w:pPr>
  </w:style>
  <w:style w:type="paragraph" w:customStyle="1" w:styleId="ListAlpha2">
    <w:name w:val="List Alpha 2"/>
    <w:basedOn w:val="List2"/>
    <w:rsid w:val="00D029C3"/>
    <w:pPr>
      <w:numPr>
        <w:numId w:val="6"/>
      </w:numPr>
    </w:pPr>
  </w:style>
  <w:style w:type="paragraph" w:styleId="List2">
    <w:name w:val="List 2"/>
    <w:basedOn w:val="BodyText"/>
    <w:rsid w:val="00D029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9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9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9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9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9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29C3"/>
    <w:pPr>
      <w:numPr>
        <w:numId w:val="2"/>
      </w:numPr>
    </w:pPr>
  </w:style>
  <w:style w:type="paragraph" w:styleId="ListContinue2">
    <w:name w:val="List Continue 2"/>
    <w:basedOn w:val="List2"/>
    <w:rsid w:val="00D029C3"/>
    <w:pPr>
      <w:ind w:firstLine="0"/>
    </w:pPr>
  </w:style>
  <w:style w:type="paragraph" w:styleId="ListContinue3">
    <w:name w:val="List Continue 3"/>
    <w:basedOn w:val="List3"/>
    <w:rsid w:val="00D029C3"/>
    <w:pPr>
      <w:ind w:left="1021" w:firstLine="0"/>
    </w:pPr>
  </w:style>
  <w:style w:type="paragraph" w:styleId="ListContinue4">
    <w:name w:val="List Continue 4"/>
    <w:basedOn w:val="List4"/>
    <w:rsid w:val="00D029C3"/>
    <w:pPr>
      <w:ind w:firstLine="0"/>
    </w:pPr>
  </w:style>
  <w:style w:type="paragraph" w:styleId="ListContinue5">
    <w:name w:val="List Continue 5"/>
    <w:basedOn w:val="List5"/>
    <w:rsid w:val="00D029C3"/>
    <w:pPr>
      <w:ind w:firstLine="0"/>
    </w:pPr>
  </w:style>
  <w:style w:type="paragraph" w:styleId="ListNumber3">
    <w:name w:val="List Number 3"/>
    <w:basedOn w:val="List3"/>
    <w:rsid w:val="00D029C3"/>
    <w:pPr>
      <w:numPr>
        <w:numId w:val="3"/>
      </w:numPr>
    </w:pPr>
  </w:style>
  <w:style w:type="paragraph" w:styleId="ListNumber4">
    <w:name w:val="List Number 4"/>
    <w:basedOn w:val="List4"/>
    <w:rsid w:val="00D029C3"/>
    <w:pPr>
      <w:numPr>
        <w:numId w:val="4"/>
      </w:numPr>
    </w:pPr>
  </w:style>
  <w:style w:type="paragraph" w:styleId="ListNumber5">
    <w:name w:val="List Number 5"/>
    <w:basedOn w:val="List5"/>
    <w:rsid w:val="00D029C3"/>
    <w:pPr>
      <w:numPr>
        <w:numId w:val="5"/>
      </w:numPr>
    </w:pPr>
  </w:style>
  <w:style w:type="paragraph" w:styleId="BlockText">
    <w:name w:val="Block Text"/>
    <w:basedOn w:val="Normal"/>
    <w:rsid w:val="00D029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9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9C3"/>
    <w:rPr>
      <w:sz w:val="16"/>
      <w:vertAlign w:val="superscript"/>
    </w:rPr>
  </w:style>
  <w:style w:type="character" w:customStyle="1" w:styleId="Symbols">
    <w:name w:val="Symbols"/>
    <w:basedOn w:val="DefaultParagraphFont"/>
    <w:rsid w:val="00D029C3"/>
    <w:rPr>
      <w:rFonts w:ascii="Symbol" w:hAnsi="Symbol"/>
    </w:rPr>
  </w:style>
  <w:style w:type="character" w:customStyle="1" w:styleId="MenuOptions">
    <w:name w:val="Menu Options"/>
    <w:basedOn w:val="DefaultParagraphFont"/>
    <w:rsid w:val="00D029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9C3"/>
    <w:rPr>
      <w:b/>
    </w:rPr>
  </w:style>
  <w:style w:type="character" w:customStyle="1" w:styleId="Underlined">
    <w:name w:val="Underlined"/>
    <w:basedOn w:val="DefaultParagraphFont"/>
    <w:rsid w:val="00D029C3"/>
    <w:rPr>
      <w:u w:val="single"/>
    </w:rPr>
  </w:style>
  <w:style w:type="paragraph" w:customStyle="1" w:styleId="TableBodyTextRight">
    <w:name w:val="Table Body Text Right"/>
    <w:basedOn w:val="TableBodyText"/>
    <w:rsid w:val="00D029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9C3"/>
    <w:rPr>
      <w:sz w:val="18"/>
    </w:rPr>
  </w:style>
  <w:style w:type="paragraph" w:customStyle="1" w:styleId="BodySmallRight">
    <w:name w:val="Body Small Right"/>
    <w:basedOn w:val="BodyTextRight"/>
    <w:rsid w:val="00D029C3"/>
    <w:rPr>
      <w:sz w:val="18"/>
      <w:szCs w:val="18"/>
    </w:rPr>
  </w:style>
  <w:style w:type="paragraph" w:customStyle="1" w:styleId="MarginEdition">
    <w:name w:val="Margin Edition"/>
    <w:basedOn w:val="MarginNote"/>
    <w:rsid w:val="00D029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9C3"/>
    <w:rPr>
      <w:sz w:val="2"/>
      <w:szCs w:val="2"/>
    </w:rPr>
  </w:style>
  <w:style w:type="character" w:customStyle="1" w:styleId="Small">
    <w:name w:val="Small"/>
    <w:basedOn w:val="DefaultParagraphFont"/>
    <w:rsid w:val="00D029C3"/>
    <w:rPr>
      <w:sz w:val="16"/>
    </w:rPr>
  </w:style>
  <w:style w:type="paragraph" w:customStyle="1" w:styleId="WideTable">
    <w:name w:val="Wide Table"/>
    <w:basedOn w:val="Normal"/>
    <w:rsid w:val="00D029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9C3"/>
  </w:style>
  <w:style w:type="paragraph" w:styleId="Quote">
    <w:name w:val="Quote"/>
    <w:basedOn w:val="Heading1"/>
    <w:link w:val="QuoteChar"/>
    <w:qFormat/>
    <w:rsid w:val="00D029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9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9C3"/>
    <w:pPr>
      <w:pageBreakBefore/>
    </w:pPr>
  </w:style>
  <w:style w:type="paragraph" w:customStyle="1" w:styleId="Border">
    <w:name w:val="Border"/>
    <w:basedOn w:val="Normal"/>
    <w:qFormat/>
    <w:rsid w:val="00D029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9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9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9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9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9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9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9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9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9C3"/>
    <w:rPr>
      <w:u w:val="single"/>
    </w:rPr>
  </w:style>
  <w:style w:type="character" w:customStyle="1" w:styleId="BoldandItalics">
    <w:name w:val="Bold and Italics"/>
    <w:qFormat/>
    <w:rsid w:val="00D029C3"/>
    <w:rPr>
      <w:b/>
      <w:i/>
      <w:u w:val="none"/>
    </w:rPr>
  </w:style>
  <w:style w:type="paragraph" w:styleId="BalloonText">
    <w:name w:val="Balloon Text"/>
    <w:basedOn w:val="Normal"/>
    <w:link w:val="BalloonTextChar"/>
    <w:rsid w:val="00D02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9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9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9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9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9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9C3"/>
    <w:pPr>
      <w:spacing w:before="0" w:after="0"/>
    </w:pPr>
  </w:style>
  <w:style w:type="paragraph" w:customStyle="1" w:styleId="BodyTextBold">
    <w:name w:val="Body Text Bold"/>
    <w:basedOn w:val="BodyText"/>
    <w:qFormat/>
    <w:rsid w:val="00D029C3"/>
    <w:rPr>
      <w:b/>
    </w:rPr>
  </w:style>
  <w:style w:type="character" w:styleId="Hyperlink">
    <w:name w:val="Hyperlink"/>
    <w:basedOn w:val="DefaultParagraphFont"/>
    <w:uiPriority w:val="99"/>
    <w:unhideWhenUsed/>
    <w:rsid w:val="00B850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3441</Characters>
  <Application>Microsoft Office Word</Application>
  <DocSecurity>0</DocSecurity>
  <Lines>114</Lines>
  <Paragraphs>71</Paragraphs>
  <ScaleCrop>false</ScaleCrop>
  <Company>Author-it Software Corporation Ltd.</Company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HLTDEN030 Assist the dental practitioner during medical emergencies in a dental setting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