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980" w:rsidP="003A5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HLTDEN030 Assist the dental practitioner during medical emergencies in a dental setting</w:t>
      </w:r>
      <w:r>
        <w:fldChar w:fldCharType="end"/>
      </w:r>
    </w:p>
    <w:p w:rsidR="003A5980" w:rsidP="003A5980">
      <w:pPr>
        <w:pStyle w:val="Version"/>
        <w:sectPr w:rsidSect="00326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6ED3" w:rsidP="00326ED3">
      <w:pPr>
        <w:pStyle w:val="SuperHeading"/>
      </w:pPr>
      <w:r w:rsidRPr="00326ED3">
        <w:t>HLTDEN030 Assist the dental practitioner during medical emergencies in a dental setting</w:t>
      </w:r>
    </w:p>
    <w:p w:rsidR="00000000" w:rsidRPr="00326ED3" w:rsidP="00326ED3">
      <w:pPr>
        <w:pStyle w:val="Heading1"/>
      </w:pPr>
      <w:bookmarkStart w:id="1" w:name="O_1201144"/>
      <w:bookmarkEnd w:id="1"/>
      <w:r w:rsidRPr="00326E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6ED3" w:rsidP="00326ED3">
            <w:pPr>
              <w:pStyle w:val="BodyText"/>
            </w:pPr>
            <w:r w:rsidRPr="00326ED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rPr>
                <w:rStyle w:val="SpecialBold"/>
              </w:rPr>
              <w:t>Comments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BodyText"/>
            </w:pPr>
            <w:r w:rsidRPr="00326ED3">
              <w:t xml:space="preserve">Release 2 HLTDEN030 Assist the dental practitioner during medical emergencies in a dental setting supersedes and is equivalent to Release 1 HLTDEN030 Assist the dental practitioner during medical emergencies in a dental setting. </w:t>
            </w:r>
          </w:p>
          <w:p w:rsidR="00000000" w:rsidRPr="00326ED3" w:rsidP="00326ED3">
            <w:pPr>
              <w:pStyle w:val="BodyText"/>
            </w:pPr>
            <w:r w:rsidRPr="00326ED3">
              <w:t>Updated:</w:t>
            </w:r>
          </w:p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t>Mapping details a</w:t>
            </w:r>
            <w:r w:rsidRPr="00326ED3">
              <w:t>nd minor corrections.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BodyText"/>
            </w:pPr>
            <w:r w:rsidRPr="00326ED3">
              <w:t>HLTDEN030 Assist the dental practitioner during medical emergencies in a dental setting no equivalent unit.</w:t>
            </w:r>
          </w:p>
        </w:tc>
      </w:tr>
    </w:tbl>
    <w:p w:rsidR="00000000" w:rsidRPr="00326ED3" w:rsidP="00326ED3">
      <w:pPr>
        <w:pStyle w:val="BodyText"/>
      </w:pPr>
    </w:p>
    <w:p w:rsidR="00000000" w:rsidRPr="00326ED3" w:rsidP="00326ED3">
      <w:pPr>
        <w:pStyle w:val="AllowPageBreak"/>
      </w:pPr>
    </w:p>
    <w:p w:rsidR="00000000" w:rsidRPr="00326ED3" w:rsidP="00326ED3">
      <w:pPr>
        <w:pStyle w:val="Heading1"/>
      </w:pPr>
      <w:bookmarkStart w:id="2" w:name="O_1201143"/>
      <w:bookmarkEnd w:id="2"/>
      <w:r w:rsidRPr="00326ED3">
        <w:t>Application</w:t>
      </w:r>
    </w:p>
    <w:p w:rsidR="00000000" w:rsidRPr="00326ED3" w:rsidP="003A5980">
      <w:pPr>
        <w:pStyle w:val="BodyText"/>
      </w:pPr>
      <w:r w:rsidRPr="00326ED3">
        <w:t>This unit of competency describes the perfor</w:t>
      </w:r>
      <w:r w:rsidRPr="00326ED3">
        <w:t>mance outcomes, skills and knowledge required to assist the dentist or dental specialist with patient care during medical emergencies in a dental setting.</w:t>
      </w:r>
    </w:p>
    <w:p w:rsidR="00000000" w:rsidRPr="00326ED3" w:rsidP="003A5980">
      <w:pPr>
        <w:pStyle w:val="BodyText"/>
      </w:pPr>
      <w:r w:rsidRPr="00326ED3">
        <w:t>This unit applies to dental assistants and those carrying out dental assisting work.</w:t>
      </w:r>
    </w:p>
    <w:p w:rsidR="00000000" w:rsidRPr="00326ED3" w:rsidP="003A5980">
      <w:pPr>
        <w:pStyle w:val="BodyText"/>
      </w:pPr>
      <w:r w:rsidRPr="00326ED3">
        <w:t>The skills in th</w:t>
      </w:r>
      <w:r w:rsidRPr="00326ED3">
        <w:t>is unit must be applied in accordance with Commonwealth and State/Territory legislation, Australian standards and industry codes of practice.</w:t>
      </w:r>
    </w:p>
    <w:p w:rsidR="00000000" w:rsidRPr="00326ED3" w:rsidP="003A5980">
      <w:pPr>
        <w:pStyle w:val="BodyText"/>
      </w:pPr>
      <w:r w:rsidRPr="00326ED3">
        <w:t>No occupational licensing, certification or specific legislative requirements apply to this unit at the time of pu</w:t>
      </w:r>
      <w:r w:rsidRPr="00326ED3">
        <w:t>blication.</w:t>
      </w:r>
    </w:p>
    <w:p w:rsidR="00000000" w:rsidRPr="00326ED3" w:rsidP="00326ED3">
      <w:pPr>
        <w:pStyle w:val="Heading1"/>
      </w:pPr>
      <w:bookmarkStart w:id="3" w:name="O_1201142"/>
      <w:bookmarkEnd w:id="3"/>
      <w:r w:rsidRPr="00326ED3">
        <w:t>Pre-requisite Unit</w:t>
      </w:r>
    </w:p>
    <w:p w:rsidR="00000000" w:rsidRPr="00326ED3" w:rsidP="003A5980">
      <w:pPr>
        <w:pStyle w:val="BodyText"/>
      </w:pPr>
      <w:r w:rsidRPr="00326ED3">
        <w:t>Nil</w:t>
      </w:r>
    </w:p>
    <w:p w:rsidR="00000000" w:rsidRPr="00326ED3" w:rsidP="00326ED3">
      <w:pPr>
        <w:pStyle w:val="Heading1"/>
      </w:pPr>
      <w:bookmarkStart w:id="4" w:name="O_1201141"/>
      <w:bookmarkEnd w:id="4"/>
      <w:r w:rsidRPr="00326ED3">
        <w:t>Competency Field</w:t>
      </w:r>
    </w:p>
    <w:p w:rsidR="00000000" w:rsidRPr="00326ED3" w:rsidP="003A5980">
      <w:pPr>
        <w:pStyle w:val="BodyText"/>
      </w:pPr>
      <w:r w:rsidRPr="00326ED3">
        <w:t>Dental Assisting</w:t>
      </w:r>
    </w:p>
    <w:p w:rsidR="00000000" w:rsidRPr="00326ED3" w:rsidP="00326ED3">
      <w:pPr>
        <w:pStyle w:val="Heading1"/>
      </w:pPr>
      <w:bookmarkStart w:id="5" w:name="O_1201140"/>
      <w:bookmarkEnd w:id="5"/>
      <w:r w:rsidRPr="00326ED3">
        <w:t>Unit Sector</w:t>
      </w:r>
    </w:p>
    <w:p w:rsidR="00000000" w:rsidRPr="00326ED3" w:rsidP="003A5980">
      <w:pPr>
        <w:pStyle w:val="BodyText"/>
      </w:pPr>
      <w:r w:rsidRPr="00326ED3">
        <w:t>Dental</w:t>
      </w:r>
    </w:p>
    <w:p w:rsidR="00000000" w:rsidRPr="00326ED3" w:rsidP="00326ED3">
      <w:pPr>
        <w:pStyle w:val="Heading1"/>
      </w:pPr>
      <w:bookmarkStart w:id="6" w:name="O_1201139"/>
      <w:bookmarkEnd w:id="6"/>
      <w:r w:rsidRPr="00326E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BodyText"/>
            </w:pPr>
            <w:r w:rsidRPr="00326ED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rPr>
                <w:rStyle w:val="SpecialBold"/>
              </w:rPr>
              <w:t>PERFORMANCE</w:t>
            </w:r>
            <w:r w:rsidRPr="00326ED3">
              <w:t xml:space="preserve"> </w:t>
            </w:r>
            <w:r w:rsidRPr="00326ED3">
              <w:rPr>
                <w:rStyle w:val="SpecialBold"/>
              </w:rPr>
              <w:t>CRITERIA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BodyText"/>
            </w:pPr>
            <w:r w:rsidRPr="00326ED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List"/>
              <w:rPr>
                <w:lang w:val="en-NZ"/>
              </w:rPr>
            </w:pPr>
            <w:r w:rsidRPr="00326ED3">
              <w:t>1.  Prepare for medical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List"/>
            </w:pPr>
            <w:r w:rsidRPr="00326ED3">
              <w:t>1.1. Check expiry of medicaments used during medical emergencies.</w:t>
            </w:r>
          </w:p>
          <w:p w:rsidR="00000000" w:rsidRPr="00326ED3" w:rsidP="00326ED3">
            <w:pPr>
              <w:pStyle w:val="List"/>
            </w:pPr>
            <w:r w:rsidRPr="00326ED3">
              <w:t>1.2. Check firs</w:t>
            </w:r>
            <w:r w:rsidRPr="00326ED3">
              <w:t>t aid supplies and operational status of equipment.</w:t>
            </w:r>
          </w:p>
          <w:p w:rsidR="00000000" w:rsidP="00326ED3">
            <w:pPr>
              <w:pStyle w:val="List"/>
              <w:rPr>
                <w:lang w:val="en-NZ"/>
              </w:rPr>
            </w:pPr>
            <w:r w:rsidRPr="00326ED3">
              <w:t>1.3. Locate and have readily available onsite first aid kit.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List"/>
              <w:rPr>
                <w:lang w:val="en-NZ"/>
              </w:rPr>
            </w:pPr>
            <w:r w:rsidRPr="00326ED3">
              <w:t>2.  Respond to a medical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List"/>
            </w:pPr>
            <w:r w:rsidRPr="00326ED3">
              <w:t>2.1. Recognise indicators that signify a medical emergency.</w:t>
            </w:r>
          </w:p>
          <w:p w:rsidR="00000000" w:rsidRPr="00326ED3" w:rsidP="00326ED3">
            <w:pPr>
              <w:pStyle w:val="List"/>
            </w:pPr>
            <w:r w:rsidRPr="00326ED3">
              <w:t>2.2. Identify and minimise immediate risks to health and safety of self and others.</w:t>
            </w:r>
          </w:p>
          <w:p w:rsidR="00000000" w:rsidP="00326ED3">
            <w:pPr>
              <w:pStyle w:val="List"/>
              <w:rPr>
                <w:lang w:val="en-NZ"/>
              </w:rPr>
            </w:pPr>
            <w:r w:rsidRPr="00326ED3">
              <w:t>2.3. Provide assistance as directed by the dental practitioner.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List"/>
              <w:rPr>
                <w:lang w:val="en-NZ"/>
              </w:rPr>
            </w:pPr>
            <w:r w:rsidRPr="00326ED3">
              <w:t>3.  Assist with dental medical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List"/>
            </w:pPr>
            <w:r w:rsidRPr="00326ED3">
              <w:t>3.1. Use appropriate procedure as required to assist the dental</w:t>
            </w:r>
            <w:r w:rsidRPr="00326ED3">
              <w:t xml:space="preserve"> practitioner to manage a patient with low blood pressure.</w:t>
            </w:r>
          </w:p>
          <w:p w:rsidR="00000000" w:rsidRPr="00326ED3" w:rsidP="00326ED3">
            <w:pPr>
              <w:pStyle w:val="List"/>
            </w:pPr>
            <w:r w:rsidRPr="00326ED3">
              <w:t>3.2. Use appropriate procedure as required to assist the dental practitioner to manage a patient with a cardiac emergency.</w:t>
            </w:r>
          </w:p>
          <w:p w:rsidR="00000000" w:rsidRPr="00326ED3" w:rsidP="00326ED3">
            <w:pPr>
              <w:pStyle w:val="List"/>
            </w:pPr>
            <w:r w:rsidRPr="00326ED3">
              <w:t>3.3. Use appropriate procedure, medicaments and equipment as required to a</w:t>
            </w:r>
            <w:r w:rsidRPr="00326ED3">
              <w:t>ssist the dental practitioner to manage a patient with a diabetic emergency.</w:t>
            </w:r>
          </w:p>
          <w:p w:rsidR="00000000" w:rsidP="00326ED3">
            <w:pPr>
              <w:pStyle w:val="List"/>
              <w:rPr>
                <w:lang w:val="en-NZ"/>
              </w:rPr>
            </w:pPr>
            <w:r w:rsidRPr="00326ED3">
              <w:t>3.4. Use appropriate procedure, medicaments and equipment as required to assist the dental practitioner to manage a patient with an allergy emergency.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List"/>
              <w:rPr>
                <w:lang w:val="en-NZ"/>
              </w:rPr>
            </w:pPr>
            <w:r w:rsidRPr="00326ED3">
              <w:t xml:space="preserve">4.   Seek </w:t>
            </w:r>
            <w:r w:rsidRPr="00326ED3">
              <w:t>assistance from emergency response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List"/>
            </w:pPr>
            <w:r w:rsidRPr="00326ED3">
              <w:t>4.1. Recognise situations requiring a response from emergency services.</w:t>
            </w:r>
          </w:p>
          <w:p w:rsidR="00000000" w:rsidRPr="00326ED3" w:rsidP="00326ED3">
            <w:pPr>
              <w:pStyle w:val="List"/>
            </w:pPr>
            <w:r w:rsidRPr="00326ED3">
              <w:t>4.2. Follow organisational policies and procedures to contact emergency response services.</w:t>
            </w:r>
          </w:p>
          <w:p w:rsidR="00000000" w:rsidRPr="00326ED3" w:rsidP="00326ED3">
            <w:pPr>
              <w:pStyle w:val="List"/>
            </w:pPr>
            <w:r w:rsidRPr="00326ED3">
              <w:t>4.3. Provide emergency response services with ac</w:t>
            </w:r>
            <w:r w:rsidRPr="00326ED3">
              <w:t>curate medical details regarding the medical emergency.</w:t>
            </w:r>
          </w:p>
          <w:p w:rsidR="00000000" w:rsidP="00326ED3">
            <w:pPr>
              <w:pStyle w:val="List"/>
              <w:rPr>
                <w:lang w:val="en-NZ"/>
              </w:rPr>
            </w:pPr>
            <w:r w:rsidRPr="00326ED3">
              <w:t>4.4. Provide required details of the physical location of the patient including address and access requirements.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List"/>
              <w:rPr>
                <w:lang w:val="en-NZ"/>
              </w:rPr>
            </w:pPr>
            <w:r w:rsidRPr="00326ED3">
              <w:t>5.  Assist with maintaining patient comfort.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List"/>
            </w:pPr>
            <w:r w:rsidRPr="00326ED3">
              <w:t>5.1. Assist with ensuring physical comfor</w:t>
            </w:r>
            <w:r w:rsidRPr="00326ED3">
              <w:t>t of the patient.</w:t>
            </w:r>
          </w:p>
          <w:p w:rsidR="00000000" w:rsidP="00326ED3">
            <w:pPr>
              <w:pStyle w:val="List"/>
              <w:rPr>
                <w:lang w:val="en-NZ"/>
              </w:rPr>
            </w:pPr>
            <w:r w:rsidRPr="00326ED3">
              <w:t>5.2. Provide verbal reassurance and support to the patient.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List"/>
              <w:rPr>
                <w:lang w:val="en-NZ"/>
              </w:rPr>
            </w:pPr>
            <w:r w:rsidRPr="00326ED3">
              <w:t>6.  Record details of the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List"/>
            </w:pPr>
            <w:r w:rsidRPr="00326ED3">
              <w:t>6.1. Document incident details as directed by the dental practitioner according to organisational policies and procedures.</w:t>
            </w:r>
          </w:p>
          <w:p w:rsidR="00000000" w:rsidRPr="00326ED3" w:rsidP="00326ED3">
            <w:pPr>
              <w:pStyle w:val="List"/>
            </w:pPr>
            <w:r w:rsidRPr="00326ED3">
              <w:t>6.2. Maintain con</w:t>
            </w:r>
            <w:r w:rsidRPr="00326ED3">
              <w:t>fidentiality of patient information.</w:t>
            </w:r>
          </w:p>
          <w:p w:rsidR="00000000" w:rsidRPr="00326ED3" w:rsidP="00326ED3">
            <w:pPr>
              <w:pStyle w:val="List"/>
            </w:pPr>
            <w:r w:rsidRPr="00326ED3">
              <w:t>6.3. Follow organisational policies and procedures when required to disclose patient information to others.</w:t>
            </w:r>
          </w:p>
        </w:tc>
      </w:tr>
    </w:tbl>
    <w:p w:rsidR="003A5980" w:rsidP="00326ED3">
      <w:pPr>
        <w:pStyle w:val="List"/>
      </w:pPr>
    </w:p>
    <w:p w:rsidR="003A5980" w:rsidP="00326ED3">
      <w:pPr>
        <w:pStyle w:val="List"/>
      </w:pPr>
    </w:p>
    <w:p w:rsidR="00000000" w:rsidRPr="00326ED3" w:rsidP="00326ED3">
      <w:pPr>
        <w:pStyle w:val="Heading1"/>
      </w:pPr>
      <w:bookmarkStart w:id="7" w:name="O_1201138"/>
      <w:bookmarkEnd w:id="7"/>
      <w:r w:rsidRPr="00326ED3">
        <w:t>Foundation Skills</w:t>
      </w:r>
    </w:p>
    <w:p w:rsidR="00000000" w:rsidRPr="00326ED3" w:rsidP="003A5980">
      <w:pPr>
        <w:pStyle w:val="BodyText"/>
      </w:pPr>
      <w:r w:rsidRPr="00326ED3">
        <w:t>Foundation skills essential to performance are explicit in the performance criteria of this unit of competency.</w:t>
      </w:r>
    </w:p>
    <w:p w:rsidR="00000000" w:rsidRPr="00326ED3" w:rsidP="00326ED3">
      <w:pPr>
        <w:pStyle w:val="Heading1"/>
      </w:pPr>
      <w:bookmarkStart w:id="8" w:name="O_1201137"/>
      <w:bookmarkEnd w:id="8"/>
      <w:r w:rsidRPr="00326ED3">
        <w:t>Unit Mapping Information</w:t>
      </w:r>
    </w:p>
    <w:p w:rsidR="00000000" w:rsidRPr="00326ED3" w:rsidP="003A5980">
      <w:pPr>
        <w:pStyle w:val="BodyText"/>
      </w:pPr>
      <w:r w:rsidRPr="00326ED3">
        <w:t>No equivalent unit.</w:t>
      </w:r>
    </w:p>
    <w:p w:rsidR="00000000" w:rsidRPr="00326ED3" w:rsidP="00326ED3">
      <w:pPr>
        <w:pStyle w:val="Heading1"/>
      </w:pPr>
      <w:bookmarkStart w:id="9" w:name="O_1201145"/>
      <w:bookmarkEnd w:id="9"/>
      <w:r w:rsidRPr="00326ED3">
        <w:t>Links</w:t>
      </w:r>
    </w:p>
    <w:p w:rsidR="00000000" w:rsidRPr="00326ED3" w:rsidP="003A5980">
      <w:pPr>
        <w:pStyle w:val="BodyText"/>
      </w:pPr>
      <w:r w:rsidRPr="00326ED3">
        <w:t>Companion Volume implementation guides are found in VET</w:t>
      </w:r>
      <w:r w:rsidRPr="00326ED3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47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26ED3" w:rsidP="003A5980">
      <w:pPr>
        <w:pStyle w:val="BodyText"/>
        <w:sectPr w:rsidSect="00326E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6ED3" w:rsidP="00326ED3">
      <w:pPr>
        <w:pStyle w:val="SuperHeading"/>
      </w:pPr>
      <w:r w:rsidRPr="00326ED3">
        <w:t>Assessment Requirements for HLTDEN030 Assist the dental practitioner during medical emergencies in a dental setting</w:t>
      </w:r>
    </w:p>
    <w:p w:rsidR="00000000" w:rsidRPr="00326ED3" w:rsidP="00326ED3">
      <w:pPr>
        <w:pStyle w:val="Heading1"/>
      </w:pPr>
      <w:bookmarkStart w:id="10" w:name="O_1201135"/>
      <w:bookmarkEnd w:id="10"/>
      <w:r w:rsidRPr="00326E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6ED3" w:rsidP="00326ED3">
            <w:pPr>
              <w:pStyle w:val="BodyText"/>
            </w:pPr>
            <w:r w:rsidRPr="00326ED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rPr>
                <w:rStyle w:val="SpecialBold"/>
              </w:rPr>
              <w:t>Comments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BodyText"/>
            </w:pPr>
            <w:r w:rsidRPr="00326ED3">
              <w:t xml:space="preserve">Release 2 HLTDEN030 Assist the dental practitioner during medical emergencies in a dental setting supersedes and is equivalent to Release 1 HLTDEN030 Assist </w:t>
            </w:r>
            <w:r w:rsidRPr="00326ED3">
              <w:t xml:space="preserve">the dental practitioner during medical emergencies in a dental setting. </w:t>
            </w:r>
          </w:p>
          <w:p w:rsidR="00000000" w:rsidRPr="00326ED3" w:rsidP="00326ED3">
            <w:pPr>
              <w:pStyle w:val="BodyText"/>
            </w:pPr>
            <w:r w:rsidRPr="00326ED3">
              <w:t>Updated:</w:t>
            </w:r>
          </w:p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t>Mapping details and minor corrections.</w:t>
            </w:r>
          </w:p>
        </w:tc>
      </w:tr>
      <w:tr w:rsidTr="00326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ED3">
            <w:pPr>
              <w:pStyle w:val="BodyText"/>
              <w:rPr>
                <w:lang w:val="en-NZ"/>
              </w:rPr>
            </w:pPr>
            <w:r w:rsidRPr="00326ED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ED3" w:rsidP="00326ED3">
            <w:pPr>
              <w:pStyle w:val="BodyText"/>
            </w:pPr>
            <w:r w:rsidRPr="00326ED3">
              <w:t>HLTDEN030 Assist the dental practitioner during medical emergencies in a dental setting no equivalent unit.</w:t>
            </w:r>
          </w:p>
        </w:tc>
      </w:tr>
    </w:tbl>
    <w:p w:rsidR="00000000" w:rsidRPr="00326ED3" w:rsidP="00326ED3">
      <w:pPr>
        <w:pStyle w:val="BodyText"/>
      </w:pPr>
    </w:p>
    <w:p w:rsidR="00000000" w:rsidRPr="00326ED3" w:rsidP="00326ED3">
      <w:pPr>
        <w:pStyle w:val="AllowPageBreak"/>
      </w:pPr>
    </w:p>
    <w:p w:rsidR="00000000" w:rsidRPr="00326ED3" w:rsidP="00326ED3">
      <w:pPr>
        <w:pStyle w:val="Heading1"/>
      </w:pPr>
      <w:bookmarkStart w:id="11" w:name="O_1201134"/>
      <w:bookmarkEnd w:id="11"/>
      <w:r w:rsidRPr="00326ED3">
        <w:t>Performance Evidence</w:t>
      </w:r>
    </w:p>
    <w:p w:rsidR="00000000" w:rsidRPr="00326ED3" w:rsidP="003A5980">
      <w:pPr>
        <w:pStyle w:val="BodyText"/>
      </w:pPr>
      <w:r w:rsidRPr="00326ED3">
        <w:t>Evidence of the ability to complete tasks outlined in elements and performance criteria of this unit in the context of the job role, and:</w:t>
      </w:r>
    </w:p>
    <w:p w:rsidR="00000000" w:rsidRPr="00326ED3" w:rsidP="00326ED3">
      <w:pPr>
        <w:pStyle w:val="ListBullet"/>
      </w:pPr>
      <w:r w:rsidRPr="00326ED3">
        <w:t>respond to at least one simulated emergency response situation</w:t>
      </w:r>
      <w:r w:rsidRPr="00326ED3">
        <w:t xml:space="preserve">, contextualised to the candidate’s workplace, including: </w:t>
      </w:r>
    </w:p>
    <w:p w:rsidR="00000000" w:rsidRPr="00326ED3" w:rsidP="00326ED3">
      <w:pPr>
        <w:pStyle w:val="ListBullet2"/>
      </w:pPr>
      <w:r w:rsidRPr="00326ED3">
        <w:t>demonstrating correct response for a medical emergency that is identified by the dental practitioner</w:t>
      </w:r>
    </w:p>
    <w:p w:rsidR="00000000" w:rsidRPr="00326ED3" w:rsidP="00326ED3">
      <w:pPr>
        <w:pStyle w:val="ListBullet2"/>
      </w:pPr>
      <w:r w:rsidRPr="00326ED3">
        <w:t>preparing equipment or medicaments for an identified medical emergency</w:t>
      </w:r>
    </w:p>
    <w:p w:rsidR="00000000" w:rsidRPr="00326ED3" w:rsidP="00326ED3">
      <w:pPr>
        <w:pStyle w:val="ListBullet3"/>
      </w:pPr>
      <w:r w:rsidRPr="00326ED3">
        <w:t xml:space="preserve">applying safe handling </w:t>
      </w:r>
      <w:r w:rsidRPr="00326ED3">
        <w:t>techniques</w:t>
      </w:r>
    </w:p>
    <w:p w:rsidR="00000000" w:rsidRPr="00326ED3" w:rsidP="00326ED3">
      <w:pPr>
        <w:pStyle w:val="ListBullet2"/>
      </w:pPr>
      <w:r w:rsidRPr="00326ED3">
        <w:t>providing an accurate verbal or written report of the incident as directed by the practitioner.</w:t>
      </w:r>
    </w:p>
    <w:p w:rsidR="00000000" w:rsidRPr="00326ED3" w:rsidP="00326ED3">
      <w:pPr>
        <w:pStyle w:val="AllowPageBreak"/>
      </w:pPr>
    </w:p>
    <w:p w:rsidR="00000000" w:rsidRPr="00326ED3" w:rsidP="00326ED3">
      <w:pPr>
        <w:pStyle w:val="Heading1"/>
      </w:pPr>
      <w:bookmarkStart w:id="12" w:name="O_1201133"/>
      <w:bookmarkEnd w:id="12"/>
      <w:r w:rsidRPr="00326ED3">
        <w:t>Knowledge Evidence</w:t>
      </w:r>
    </w:p>
    <w:p w:rsidR="00000000" w:rsidRPr="00326ED3" w:rsidP="003A5980">
      <w:pPr>
        <w:pStyle w:val="BodyText"/>
      </w:pPr>
      <w:r w:rsidRPr="00326ED3">
        <w:t>Demonstrated knowledge required to complete the tasks outlined in elements and performance criteria of this unit:</w:t>
      </w:r>
    </w:p>
    <w:p w:rsidR="00000000" w:rsidRPr="00326ED3" w:rsidP="00326ED3">
      <w:pPr>
        <w:pStyle w:val="ListBullet"/>
      </w:pPr>
      <w:r w:rsidRPr="00326ED3">
        <w:t>emergency response procedures for the dental team including:</w:t>
      </w:r>
    </w:p>
    <w:p w:rsidR="00000000" w:rsidRPr="00326ED3" w:rsidP="00326ED3">
      <w:pPr>
        <w:pStyle w:val="ListBullet2"/>
      </w:pPr>
      <w:r w:rsidRPr="00326ED3">
        <w:t>responsibilities of each person within the team</w:t>
      </w:r>
    </w:p>
    <w:p w:rsidR="00000000" w:rsidRPr="00326ED3" w:rsidP="00326ED3">
      <w:pPr>
        <w:pStyle w:val="ListBullet2"/>
      </w:pPr>
      <w:r w:rsidRPr="00326ED3">
        <w:t>own role and responsibilities within the emergency response procedure</w:t>
      </w:r>
    </w:p>
    <w:p w:rsidR="00000000" w:rsidRPr="00326ED3" w:rsidP="00326ED3">
      <w:pPr>
        <w:pStyle w:val="ListBullet"/>
      </w:pPr>
      <w:r w:rsidRPr="00326ED3">
        <w:t>information to assist with medical emergencies in the dental setting including:</w:t>
      </w:r>
    </w:p>
    <w:p w:rsidR="00000000" w:rsidRPr="00326ED3" w:rsidP="00326ED3">
      <w:pPr>
        <w:pStyle w:val="ListBullet2"/>
      </w:pPr>
      <w:r w:rsidRPr="00326ED3">
        <w:t>patient medical history</w:t>
      </w:r>
    </w:p>
    <w:p w:rsidR="00000000" w:rsidRPr="00326ED3" w:rsidP="00326ED3">
      <w:pPr>
        <w:pStyle w:val="ListBullet2"/>
      </w:pPr>
      <w:r w:rsidRPr="00326ED3">
        <w:t>patient emergency contact details</w:t>
      </w:r>
    </w:p>
    <w:p w:rsidR="00000000" w:rsidRPr="00326ED3" w:rsidP="00326ED3">
      <w:pPr>
        <w:pStyle w:val="ListBullet"/>
      </w:pPr>
      <w:r w:rsidRPr="00326ED3">
        <w:t xml:space="preserve">general emergency response requirements: </w:t>
      </w:r>
    </w:p>
    <w:p w:rsidR="00000000" w:rsidRPr="00326ED3" w:rsidP="00326ED3">
      <w:pPr>
        <w:pStyle w:val="ListBullet2"/>
      </w:pPr>
      <w:r w:rsidRPr="00326ED3">
        <w:t>DR</w:t>
      </w:r>
      <w:r w:rsidRPr="00326ED3">
        <w:t>SABCD</w:t>
      </w:r>
    </w:p>
    <w:p w:rsidR="00000000" w:rsidRPr="00326ED3" w:rsidP="00326ED3">
      <w:pPr>
        <w:pStyle w:val="ListBullet"/>
      </w:pPr>
      <w:r w:rsidRPr="00326ED3">
        <w:t>common indicators, causes and emergency response required for medical emergencies in the dental setting including:</w:t>
      </w:r>
    </w:p>
    <w:p w:rsidR="00000000" w:rsidRPr="00326ED3" w:rsidP="00326ED3">
      <w:pPr>
        <w:pStyle w:val="ListBullet2"/>
      </w:pPr>
      <w:r w:rsidRPr="00326ED3">
        <w:t>anxiety</w:t>
      </w:r>
    </w:p>
    <w:p w:rsidR="00000000" w:rsidRPr="00326ED3" w:rsidP="00326ED3">
      <w:pPr>
        <w:pStyle w:val="ListBullet2"/>
      </w:pPr>
      <w:r w:rsidRPr="00326ED3">
        <w:t>sensitivity or allergic reaction to latex and other allergens</w:t>
      </w:r>
    </w:p>
    <w:p w:rsidR="00000000" w:rsidRPr="00326ED3" w:rsidP="00326ED3">
      <w:pPr>
        <w:pStyle w:val="ListBullet2"/>
      </w:pPr>
      <w:r w:rsidRPr="00326ED3">
        <w:t>cardiac emergencies including angina and myocardial infarction</w:t>
      </w:r>
    </w:p>
    <w:p w:rsidR="00000000" w:rsidRPr="00326ED3" w:rsidP="00326ED3">
      <w:pPr>
        <w:pStyle w:val="ListBullet2"/>
      </w:pPr>
      <w:r w:rsidRPr="00326ED3">
        <w:t>asthma</w:t>
      </w:r>
    </w:p>
    <w:p w:rsidR="00000000" w:rsidRPr="00326ED3" w:rsidP="00326ED3">
      <w:pPr>
        <w:pStyle w:val="ListBullet2"/>
      </w:pPr>
      <w:r w:rsidRPr="00326ED3">
        <w:t>obstruction of the airway including choking</w:t>
      </w:r>
    </w:p>
    <w:p w:rsidR="00000000" w:rsidRPr="00326ED3" w:rsidP="00326ED3">
      <w:pPr>
        <w:pStyle w:val="ListBullet2"/>
      </w:pPr>
      <w:r w:rsidRPr="00326ED3">
        <w:t>diabetes</w:t>
      </w:r>
    </w:p>
    <w:p w:rsidR="00000000" w:rsidRPr="00326ED3" w:rsidP="00326ED3">
      <w:pPr>
        <w:pStyle w:val="ListBullet2"/>
      </w:pPr>
      <w:r w:rsidRPr="00326ED3">
        <w:t>epilepsy</w:t>
      </w:r>
    </w:p>
    <w:p w:rsidR="00000000" w:rsidRPr="00326ED3" w:rsidP="00326ED3">
      <w:pPr>
        <w:pStyle w:val="ListBullet2"/>
      </w:pPr>
      <w:r w:rsidRPr="00326ED3">
        <w:t xml:space="preserve">syncope </w:t>
      </w:r>
    </w:p>
    <w:p w:rsidR="00000000" w:rsidRPr="00326ED3" w:rsidP="00326ED3">
      <w:pPr>
        <w:pStyle w:val="ListBullet2"/>
      </w:pPr>
      <w:r w:rsidRPr="00326ED3">
        <w:t>hypoglycaemia</w:t>
      </w:r>
    </w:p>
    <w:p w:rsidR="00000000" w:rsidRPr="00326ED3" w:rsidP="00326ED3">
      <w:pPr>
        <w:pStyle w:val="ListBullet2"/>
      </w:pPr>
      <w:r w:rsidRPr="00326ED3">
        <w:t>hyperglycaemia</w:t>
      </w:r>
    </w:p>
    <w:p w:rsidR="00000000" w:rsidRPr="00326ED3" w:rsidP="00326ED3">
      <w:pPr>
        <w:pStyle w:val="ListBullet2"/>
      </w:pPr>
      <w:r w:rsidRPr="00326ED3">
        <w:t>hyperventilation</w:t>
      </w:r>
    </w:p>
    <w:p w:rsidR="00000000" w:rsidRPr="00326ED3" w:rsidP="00326ED3">
      <w:pPr>
        <w:pStyle w:val="ListBullet2"/>
      </w:pPr>
      <w:r w:rsidRPr="00326ED3">
        <w:t>haemorrhage</w:t>
      </w:r>
    </w:p>
    <w:p w:rsidR="00000000" w:rsidRPr="00326ED3" w:rsidP="00326ED3">
      <w:pPr>
        <w:pStyle w:val="ListBullet2"/>
      </w:pPr>
      <w:r w:rsidRPr="00326ED3">
        <w:t>ocular incidents</w:t>
      </w:r>
    </w:p>
    <w:p w:rsidR="00000000" w:rsidRPr="00326ED3" w:rsidP="00326ED3">
      <w:pPr>
        <w:pStyle w:val="ListBullet2"/>
      </w:pPr>
      <w:r w:rsidRPr="00326ED3">
        <w:t>muscular paralysis</w:t>
      </w:r>
    </w:p>
    <w:p w:rsidR="00000000" w:rsidRPr="00326ED3" w:rsidP="00326ED3">
      <w:pPr>
        <w:pStyle w:val="ListBullet2"/>
      </w:pPr>
      <w:r w:rsidRPr="00326ED3">
        <w:t>stroke</w:t>
      </w:r>
    </w:p>
    <w:p w:rsidR="00000000" w:rsidRPr="00326ED3" w:rsidP="00326ED3">
      <w:pPr>
        <w:pStyle w:val="ListBullet2"/>
      </w:pPr>
      <w:r w:rsidRPr="00326ED3">
        <w:t>chemical burns</w:t>
      </w:r>
    </w:p>
    <w:p w:rsidR="00000000" w:rsidRPr="00326ED3" w:rsidP="00326ED3">
      <w:pPr>
        <w:pStyle w:val="ListBullet3"/>
      </w:pPr>
      <w:r w:rsidRPr="00326ED3">
        <w:t>silver fluoride or diamine</w:t>
      </w:r>
    </w:p>
    <w:p w:rsidR="00000000" w:rsidRPr="00326ED3" w:rsidP="00326ED3">
      <w:pPr>
        <w:pStyle w:val="ListBullet3"/>
      </w:pPr>
      <w:r w:rsidRPr="00326ED3">
        <w:t>phosphoric acid</w:t>
      </w:r>
    </w:p>
    <w:p w:rsidR="00000000" w:rsidRPr="00326ED3" w:rsidP="00326ED3">
      <w:pPr>
        <w:pStyle w:val="ListBullet3"/>
      </w:pPr>
      <w:r w:rsidRPr="00326ED3">
        <w:t>hydrochloric acid</w:t>
      </w:r>
    </w:p>
    <w:p w:rsidR="00000000" w:rsidRPr="00326ED3" w:rsidP="00326ED3">
      <w:pPr>
        <w:pStyle w:val="ListBullet"/>
      </w:pPr>
      <w:r w:rsidRPr="00326ED3">
        <w:t>maintenance and storage requirements for medicaments and emergency equipment including:</w:t>
      </w:r>
    </w:p>
    <w:p w:rsidR="00000000" w:rsidRPr="00326ED3" w:rsidP="00326ED3">
      <w:pPr>
        <w:pStyle w:val="ListBullet2"/>
      </w:pPr>
      <w:r w:rsidRPr="00326ED3">
        <w:t xml:space="preserve">storage requirements for schedules of drugs which can be legally stored in dental premises </w:t>
      </w:r>
    </w:p>
    <w:p w:rsidR="00000000" w:rsidRPr="00326ED3" w:rsidP="00326ED3">
      <w:pPr>
        <w:pStyle w:val="ListBullet2"/>
      </w:pPr>
      <w:r w:rsidRPr="00326ED3">
        <w:t>relevance of expiry dates</w:t>
      </w:r>
    </w:p>
    <w:p w:rsidR="00000000" w:rsidRPr="00326ED3" w:rsidP="00326ED3">
      <w:pPr>
        <w:pStyle w:val="ListBullet2"/>
      </w:pPr>
      <w:r w:rsidRPr="00326ED3">
        <w:t xml:space="preserve">maintenance requirements for automated external </w:t>
      </w:r>
      <w:r w:rsidRPr="00326ED3">
        <w:t>defibrillators</w:t>
      </w:r>
    </w:p>
    <w:p w:rsidR="00000000" w:rsidRPr="00326ED3" w:rsidP="00326ED3">
      <w:pPr>
        <w:pStyle w:val="ListBullet"/>
      </w:pPr>
      <w:r w:rsidRPr="00326ED3">
        <w:t>organisational policies and procedures for disclosing patient information:</w:t>
      </w:r>
    </w:p>
    <w:p w:rsidR="00000000" w:rsidRPr="00326ED3" w:rsidP="00326ED3">
      <w:pPr>
        <w:pStyle w:val="ListBullet2"/>
      </w:pPr>
      <w:r w:rsidRPr="00326ED3">
        <w:t>privacy requirements</w:t>
      </w:r>
    </w:p>
    <w:p w:rsidR="00000000" w:rsidRPr="00326ED3" w:rsidP="00326ED3">
      <w:pPr>
        <w:pStyle w:val="ListBullet2"/>
      </w:pPr>
      <w:r w:rsidRPr="00326ED3">
        <w:t>appropriate disclosure</w:t>
      </w:r>
    </w:p>
    <w:p w:rsidR="00000000" w:rsidRPr="00326ED3" w:rsidP="00326ED3">
      <w:pPr>
        <w:pStyle w:val="ListBullet3"/>
      </w:pPr>
      <w:r w:rsidRPr="00326ED3">
        <w:t>incident forms</w:t>
      </w:r>
    </w:p>
    <w:p w:rsidR="00000000" w:rsidRPr="00326ED3" w:rsidP="00326ED3">
      <w:pPr>
        <w:pStyle w:val="ListBullet3"/>
      </w:pPr>
      <w:r w:rsidRPr="00326ED3">
        <w:t>reports to supervisor</w:t>
      </w:r>
    </w:p>
    <w:p w:rsidR="00000000" w:rsidRPr="00326ED3" w:rsidP="00326ED3">
      <w:pPr>
        <w:pStyle w:val="ListBullet3"/>
      </w:pPr>
      <w:r w:rsidRPr="00326ED3">
        <w:t>other staff</w:t>
      </w:r>
    </w:p>
    <w:p w:rsidR="00000000" w:rsidRPr="00326ED3" w:rsidP="00326ED3">
      <w:pPr>
        <w:pStyle w:val="ListBullet3"/>
      </w:pPr>
      <w:r w:rsidRPr="00326ED3">
        <w:t>emergency contacts or carers</w:t>
      </w:r>
    </w:p>
    <w:p w:rsidR="00000000" w:rsidRPr="00326ED3" w:rsidP="00326ED3">
      <w:pPr>
        <w:pStyle w:val="ListBullet3"/>
      </w:pPr>
      <w:r w:rsidRPr="00326ED3">
        <w:t>insurance or health funds.</w:t>
      </w:r>
    </w:p>
    <w:p w:rsidR="00000000" w:rsidRPr="00326ED3" w:rsidP="00326ED3">
      <w:pPr>
        <w:pStyle w:val="AllowPageBreak"/>
      </w:pPr>
    </w:p>
    <w:p w:rsidR="00000000" w:rsidRPr="00326ED3" w:rsidP="00326ED3">
      <w:pPr>
        <w:pStyle w:val="Heading1"/>
      </w:pPr>
      <w:bookmarkStart w:id="13" w:name="O_1201132"/>
      <w:bookmarkEnd w:id="13"/>
      <w:r w:rsidRPr="00326ED3">
        <w:t>Assessment Conditions</w:t>
      </w:r>
    </w:p>
    <w:p w:rsidR="00000000" w:rsidRPr="00326ED3" w:rsidP="003A5980">
      <w:pPr>
        <w:pStyle w:val="BodyText"/>
      </w:pPr>
      <w:r w:rsidRPr="00326ED3">
        <w:t xml:space="preserve">Skills must be demonstrated in a dental clinic workplace or in a simulated environment the reflects workplace conditions. </w:t>
      </w:r>
    </w:p>
    <w:p w:rsidR="00000000" w:rsidRPr="00326ED3" w:rsidP="003A5980">
      <w:pPr>
        <w:pStyle w:val="BodyText"/>
      </w:pPr>
      <w:r w:rsidRPr="00326ED3">
        <w:t>Assessment must ensure:</w:t>
      </w:r>
    </w:p>
    <w:p w:rsidR="00000000" w:rsidRPr="00326ED3" w:rsidP="00326ED3">
      <w:pPr>
        <w:pStyle w:val="ListBullet"/>
      </w:pPr>
      <w:r w:rsidRPr="00326ED3">
        <w:t>access to suitable facilities, equipment and resources, including:</w:t>
      </w:r>
    </w:p>
    <w:p w:rsidR="00000000" w:rsidRPr="00326ED3" w:rsidP="00326ED3">
      <w:pPr>
        <w:pStyle w:val="ListBullet2"/>
      </w:pPr>
      <w:r w:rsidRPr="00326ED3">
        <w:t>simulated</w:t>
      </w:r>
      <w:r w:rsidRPr="00326ED3">
        <w:t xml:space="preserve"> or real medicaments required for medical emergency situations including but not limited to epinephrine, glucose and albuterol</w:t>
      </w:r>
    </w:p>
    <w:p w:rsidR="00000000" w:rsidRPr="00326ED3" w:rsidP="00326ED3">
      <w:pPr>
        <w:pStyle w:val="ListBullet2"/>
      </w:pPr>
      <w:r w:rsidRPr="00326ED3">
        <w:t xml:space="preserve">equipment required for medical emergency situations including automated external defibrillator (AED), operational or training device </w:t>
      </w:r>
    </w:p>
    <w:p w:rsidR="00000000" w:rsidRPr="00326ED3" w:rsidP="00326ED3">
      <w:pPr>
        <w:pStyle w:val="ListBullet2"/>
      </w:pPr>
      <w:r w:rsidRPr="00326ED3">
        <w:t>dental chair</w:t>
      </w:r>
    </w:p>
    <w:p w:rsidR="00000000" w:rsidRPr="00326ED3" w:rsidP="00326ED3">
      <w:pPr>
        <w:pStyle w:val="ListBullet"/>
      </w:pPr>
      <w:r w:rsidRPr="00326ED3">
        <w:t>access to organisational policies and procedures for responding to medical emergencies</w:t>
      </w:r>
    </w:p>
    <w:p w:rsidR="00000000" w:rsidRPr="00326ED3" w:rsidP="00326ED3">
      <w:pPr>
        <w:pStyle w:val="ListBullet"/>
      </w:pPr>
      <w:r w:rsidRPr="00326ED3">
        <w:t>modelling of industry</w:t>
      </w:r>
      <w:r w:rsidRPr="00326ED3">
        <w:t xml:space="preserve"> operating conditions including access to people for simulations and scenarios in dental assisting work</w:t>
      </w:r>
    </w:p>
    <w:p w:rsidR="00000000" w:rsidRPr="00326ED3" w:rsidP="003A5980">
      <w:pPr>
        <w:pStyle w:val="BodyText"/>
      </w:pPr>
      <w:r w:rsidRPr="00326ED3">
        <w:t>Assessors must satisfy the Standards for Registered Training Organisations’ requirements for assessors.</w:t>
      </w:r>
    </w:p>
    <w:p w:rsidR="00000000" w:rsidRPr="00326ED3" w:rsidP="00326ED3">
      <w:pPr>
        <w:pStyle w:val="Heading1"/>
      </w:pPr>
      <w:bookmarkStart w:id="14" w:name="O_1201146"/>
      <w:bookmarkEnd w:id="14"/>
      <w:r w:rsidRPr="00326ED3">
        <w:t>Links</w:t>
      </w:r>
    </w:p>
    <w:p w:rsidR="00000000" w:rsidRPr="00326ED3" w:rsidP="003A5980">
      <w:pPr>
        <w:pStyle w:val="BodyText"/>
      </w:pPr>
      <w:r w:rsidRPr="00326ED3">
        <w:t>Companion Volume implem</w:t>
      </w:r>
      <w:r w:rsidRPr="00326ED3">
        <w:t xml:space="preserve">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47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26ED3" w:rsidP="00326ED3"/>
    <w:sectPr w:rsidSect="00326E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D3" w:rsidRPr="003A5980" w:rsidP="003A5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80" w:rsidP="00326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980" w:rsidP="00326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A5980" w:rsidP="00326E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D3" w:rsidP="00326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5980">
      <w:t>Approved</w:t>
    </w:r>
    <w:r w:rsidR="003A59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59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5980">
      <w:rPr>
        <w:noProof/>
      </w:rPr>
      <w:t>4</w:t>
    </w:r>
    <w:r>
      <w:rPr>
        <w:noProof/>
      </w:rPr>
      <w:fldChar w:fldCharType="end"/>
    </w:r>
  </w:p>
  <w:p w:rsidR="00326ED3" w:rsidP="00326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59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5980">
      <w:t>HumanAbility</w:t>
    </w:r>
    <w:r w:rsidR="003A5980">
      <w:fldChar w:fldCharType="end"/>
    </w:r>
  </w:p>
  <w:p w:rsidR="00326ED3" w:rsidP="00326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ED3" w:rsidRPr="003A5980" w:rsidP="003A5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80" w:rsidRPr="002D2AF8" w:rsidP="00326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HLTDEN030 Assist the dental practitioner during medical emergencies in a dental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5980" w:rsidP="00326E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D3" w:rsidRPr="002D2AF8" w:rsidP="00326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5980">
      <w:t>HLTDEN030 Assist the dental practitioner during medical emergencies in a dental setting</w:t>
    </w:r>
    <w:r w:rsidR="003A59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5980">
      <w:rPr>
        <w:noProof/>
      </w:rPr>
      <w:t>2 March 2025</w:t>
    </w:r>
    <w:r>
      <w:fldChar w:fldCharType="end"/>
    </w:r>
  </w:p>
  <w:p w:rsidR="00326ED3" w:rsidP="00326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265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68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45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ED3"/>
  </w:style>
  <w:style w:type="character" w:customStyle="1" w:styleId="Heading1Char">
    <w:name w:val="Heading 1 Char"/>
    <w:basedOn w:val="DefaultParagraphFont"/>
    <w:link w:val="Heading1"/>
    <w:rsid w:val="00326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E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6E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E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ED3"/>
    <w:rPr>
      <w:b/>
      <w:spacing w:val="0"/>
    </w:rPr>
  </w:style>
  <w:style w:type="paragraph" w:styleId="ListBullet2">
    <w:name w:val="List Bullet 2"/>
    <w:basedOn w:val="List2"/>
    <w:rsid w:val="00326E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6ED3"/>
    <w:rPr>
      <w:i/>
    </w:rPr>
  </w:style>
  <w:style w:type="paragraph" w:customStyle="1" w:styleId="SuperHeading">
    <w:name w:val="SuperHeading"/>
    <w:basedOn w:val="Normal"/>
    <w:rsid w:val="00326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6E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6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E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6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E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6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ED3"/>
  </w:style>
  <w:style w:type="paragraph" w:styleId="TableofFigures">
    <w:name w:val="table of figures"/>
    <w:basedOn w:val="Normal"/>
    <w:next w:val="Normal"/>
    <w:semiHidden/>
    <w:rsid w:val="00326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E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6ED3"/>
    <w:rPr>
      <w:rFonts w:ascii="Wingdings" w:hAnsi="Wingdings"/>
    </w:rPr>
  </w:style>
  <w:style w:type="paragraph" w:customStyle="1" w:styleId="TableHeading">
    <w:name w:val="Table Heading"/>
    <w:basedOn w:val="HeadingBase"/>
    <w:rsid w:val="00326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ED3"/>
    <w:rPr>
      <w:color w:val="0033CC"/>
      <w:u w:val="none"/>
    </w:rPr>
  </w:style>
  <w:style w:type="paragraph" w:customStyle="1" w:styleId="BodyTextRight">
    <w:name w:val="Body Text Right"/>
    <w:basedOn w:val="BodyText"/>
    <w:rsid w:val="00326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E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ED3"/>
    <w:rPr>
      <w:sz w:val="32"/>
    </w:rPr>
  </w:style>
  <w:style w:type="paragraph" w:customStyle="1" w:styleId="HeadingProcedure">
    <w:name w:val="Heading Procedure"/>
    <w:basedOn w:val="HeadingBase"/>
    <w:next w:val="Normal"/>
    <w:rsid w:val="00326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ED3"/>
    <w:pPr>
      <w:spacing w:before="60" w:after="60"/>
    </w:pPr>
  </w:style>
  <w:style w:type="paragraph" w:styleId="ListContinue">
    <w:name w:val="List Continue"/>
    <w:basedOn w:val="List"/>
    <w:rsid w:val="00326ED3"/>
    <w:pPr>
      <w:ind w:firstLine="0"/>
    </w:pPr>
  </w:style>
  <w:style w:type="paragraph" w:customStyle="1" w:styleId="ListNote">
    <w:name w:val="List Note"/>
    <w:basedOn w:val="List"/>
    <w:rsid w:val="00326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ED3"/>
    <w:rPr>
      <w:rFonts w:ascii="Courier New" w:hAnsi="Courier New"/>
    </w:rPr>
  </w:style>
  <w:style w:type="paragraph" w:customStyle="1" w:styleId="NoteBullet">
    <w:name w:val="Note Bullet"/>
    <w:basedOn w:val="Note"/>
    <w:rsid w:val="00326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E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6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ED3"/>
    <w:rPr>
      <w:b/>
      <w:smallCaps/>
    </w:rPr>
  </w:style>
  <w:style w:type="paragraph" w:customStyle="1" w:styleId="TableListNumber">
    <w:name w:val="Table List Number"/>
    <w:basedOn w:val="ListNumber"/>
    <w:rsid w:val="00326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ED3"/>
    <w:pPr>
      <w:numPr>
        <w:numId w:val="10"/>
      </w:numPr>
    </w:pPr>
  </w:style>
  <w:style w:type="paragraph" w:customStyle="1" w:styleId="ListAlpha2">
    <w:name w:val="List Alpha 2"/>
    <w:basedOn w:val="List2"/>
    <w:rsid w:val="00326ED3"/>
    <w:pPr>
      <w:numPr>
        <w:numId w:val="9"/>
      </w:numPr>
    </w:pPr>
  </w:style>
  <w:style w:type="paragraph" w:styleId="List2">
    <w:name w:val="List 2"/>
    <w:basedOn w:val="BodyText"/>
    <w:rsid w:val="00326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E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6E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6ED3"/>
    <w:pPr>
      <w:numPr>
        <w:numId w:val="5"/>
      </w:numPr>
    </w:pPr>
  </w:style>
  <w:style w:type="paragraph" w:styleId="ListContinue2">
    <w:name w:val="List Continue 2"/>
    <w:basedOn w:val="List2"/>
    <w:rsid w:val="00326ED3"/>
    <w:pPr>
      <w:ind w:firstLine="0"/>
    </w:pPr>
  </w:style>
  <w:style w:type="paragraph" w:styleId="ListContinue3">
    <w:name w:val="List Continue 3"/>
    <w:basedOn w:val="List3"/>
    <w:rsid w:val="00326ED3"/>
    <w:pPr>
      <w:ind w:left="1021" w:firstLine="0"/>
    </w:pPr>
  </w:style>
  <w:style w:type="paragraph" w:styleId="ListContinue4">
    <w:name w:val="List Continue 4"/>
    <w:basedOn w:val="List4"/>
    <w:rsid w:val="00326ED3"/>
    <w:pPr>
      <w:ind w:firstLine="0"/>
    </w:pPr>
  </w:style>
  <w:style w:type="paragraph" w:styleId="ListContinue5">
    <w:name w:val="List Continue 5"/>
    <w:basedOn w:val="List5"/>
    <w:rsid w:val="00326ED3"/>
    <w:pPr>
      <w:ind w:firstLine="0"/>
    </w:pPr>
  </w:style>
  <w:style w:type="paragraph" w:styleId="ListNumber3">
    <w:name w:val="List Number 3"/>
    <w:basedOn w:val="List3"/>
    <w:rsid w:val="00326ED3"/>
    <w:pPr>
      <w:numPr>
        <w:numId w:val="6"/>
      </w:numPr>
    </w:pPr>
  </w:style>
  <w:style w:type="paragraph" w:styleId="ListNumber4">
    <w:name w:val="List Number 4"/>
    <w:basedOn w:val="List4"/>
    <w:rsid w:val="00326ED3"/>
    <w:pPr>
      <w:numPr>
        <w:numId w:val="7"/>
      </w:numPr>
    </w:pPr>
  </w:style>
  <w:style w:type="paragraph" w:styleId="ListNumber5">
    <w:name w:val="List Number 5"/>
    <w:basedOn w:val="List5"/>
    <w:rsid w:val="00326ED3"/>
    <w:pPr>
      <w:numPr>
        <w:numId w:val="8"/>
      </w:numPr>
    </w:pPr>
  </w:style>
  <w:style w:type="paragraph" w:styleId="BlockText">
    <w:name w:val="Block Text"/>
    <w:basedOn w:val="Normal"/>
    <w:rsid w:val="00326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ED3"/>
    <w:rPr>
      <w:sz w:val="16"/>
      <w:vertAlign w:val="superscript"/>
    </w:rPr>
  </w:style>
  <w:style w:type="character" w:customStyle="1" w:styleId="Symbols">
    <w:name w:val="Symbols"/>
    <w:basedOn w:val="DefaultParagraphFont"/>
    <w:rsid w:val="00326ED3"/>
    <w:rPr>
      <w:rFonts w:ascii="Symbol" w:hAnsi="Symbol"/>
    </w:rPr>
  </w:style>
  <w:style w:type="character" w:customStyle="1" w:styleId="MenuOptions">
    <w:name w:val="Menu Options"/>
    <w:basedOn w:val="DefaultParagraphFont"/>
    <w:rsid w:val="00326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ED3"/>
    <w:rPr>
      <w:b/>
    </w:rPr>
  </w:style>
  <w:style w:type="character" w:customStyle="1" w:styleId="Underlined">
    <w:name w:val="Underlined"/>
    <w:basedOn w:val="DefaultParagraphFont"/>
    <w:rsid w:val="00326ED3"/>
    <w:rPr>
      <w:u w:val="single"/>
    </w:rPr>
  </w:style>
  <w:style w:type="paragraph" w:customStyle="1" w:styleId="TableBodyTextRight">
    <w:name w:val="Table Body Text Right"/>
    <w:basedOn w:val="TableBodyText"/>
    <w:rsid w:val="00326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ED3"/>
    <w:rPr>
      <w:sz w:val="18"/>
    </w:rPr>
  </w:style>
  <w:style w:type="paragraph" w:customStyle="1" w:styleId="BodySmallRight">
    <w:name w:val="Body Small Right"/>
    <w:basedOn w:val="BodyTextRight"/>
    <w:rsid w:val="00326ED3"/>
    <w:rPr>
      <w:sz w:val="18"/>
      <w:szCs w:val="18"/>
    </w:rPr>
  </w:style>
  <w:style w:type="paragraph" w:customStyle="1" w:styleId="MarginEdition">
    <w:name w:val="Margin Edition"/>
    <w:basedOn w:val="MarginNote"/>
    <w:rsid w:val="00326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ED3"/>
    <w:rPr>
      <w:sz w:val="2"/>
      <w:szCs w:val="2"/>
    </w:rPr>
  </w:style>
  <w:style w:type="character" w:customStyle="1" w:styleId="Small">
    <w:name w:val="Small"/>
    <w:basedOn w:val="DefaultParagraphFont"/>
    <w:rsid w:val="00326ED3"/>
    <w:rPr>
      <w:sz w:val="16"/>
    </w:rPr>
  </w:style>
  <w:style w:type="paragraph" w:customStyle="1" w:styleId="WideTable">
    <w:name w:val="Wide Table"/>
    <w:basedOn w:val="Normal"/>
    <w:rsid w:val="00326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ED3"/>
  </w:style>
  <w:style w:type="paragraph" w:styleId="Quote">
    <w:name w:val="Quote"/>
    <w:basedOn w:val="Heading1"/>
    <w:link w:val="QuoteChar"/>
    <w:qFormat/>
    <w:rsid w:val="00326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ED3"/>
    <w:pPr>
      <w:pageBreakBefore/>
    </w:pPr>
  </w:style>
  <w:style w:type="paragraph" w:customStyle="1" w:styleId="Border">
    <w:name w:val="Border"/>
    <w:basedOn w:val="Normal"/>
    <w:qFormat/>
    <w:rsid w:val="00326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ED3"/>
    <w:rPr>
      <w:u w:val="single"/>
    </w:rPr>
  </w:style>
  <w:style w:type="character" w:customStyle="1" w:styleId="BoldandItalics">
    <w:name w:val="Bold and Italics"/>
    <w:qFormat/>
    <w:rsid w:val="00326ED3"/>
    <w:rPr>
      <w:b/>
      <w:i/>
      <w:u w:val="none"/>
    </w:rPr>
  </w:style>
  <w:style w:type="paragraph" w:styleId="BalloonText">
    <w:name w:val="Balloon Text"/>
    <w:basedOn w:val="Normal"/>
    <w:link w:val="BalloonTextChar"/>
    <w:rsid w:val="00326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ED3"/>
    <w:pPr>
      <w:spacing w:before="0" w:after="0"/>
    </w:pPr>
  </w:style>
  <w:style w:type="paragraph" w:customStyle="1" w:styleId="BodyTextBold">
    <w:name w:val="Body Text Bold"/>
    <w:basedOn w:val="BodyText"/>
    <w:qFormat/>
    <w:rsid w:val="00326ED3"/>
    <w:rPr>
      <w:b/>
    </w:rPr>
  </w:style>
  <w:style w:type="character" w:styleId="Hyperlink">
    <w:name w:val="Hyperlink"/>
    <w:basedOn w:val="DefaultParagraphFont"/>
    <w:uiPriority w:val="99"/>
    <w:unhideWhenUsed/>
    <w:rsid w:val="003A5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6703</Characters>
  <Application>Microsoft Office Word</Application>
  <DocSecurity>0</DocSecurity>
  <Lines>216</Lines>
  <Paragraphs>154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HLTDEN030 Assist the dental practitioner during medical emergencies in a dental setting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