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B87" w:rsidP="00F92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HLTDEN030 Assist the dental practitioner during medical emergencies in a dental setting</w:t>
      </w:r>
      <w:r>
        <w:fldChar w:fldCharType="end"/>
      </w:r>
    </w:p>
    <w:p w:rsidR="00F92B87" w:rsidP="00F92B87">
      <w:pPr>
        <w:pStyle w:val="Version"/>
        <w:sectPr w:rsidSect="00863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3211" w:rsidP="00863211">
      <w:pPr>
        <w:pStyle w:val="SuperHeading"/>
      </w:pPr>
      <w:r w:rsidRPr="00863211">
        <w:t>Assessment Requirements for HLTDEN030 Assist the dental practitioner during medical emergencies in a dental setting</w:t>
      </w:r>
    </w:p>
    <w:p w:rsidR="00000000" w:rsidRPr="00863211" w:rsidP="00863211">
      <w:pPr>
        <w:pStyle w:val="Heading1"/>
      </w:pPr>
      <w:bookmarkStart w:id="1" w:name="O_1201135"/>
      <w:bookmarkEnd w:id="1"/>
      <w:r w:rsidRPr="008632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63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3211" w:rsidP="00863211">
            <w:pPr>
              <w:pStyle w:val="BodyText"/>
            </w:pPr>
            <w:r w:rsidRPr="0086321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3211">
            <w:pPr>
              <w:pStyle w:val="BodyText"/>
              <w:rPr>
                <w:lang w:val="en-NZ"/>
              </w:rPr>
            </w:pPr>
            <w:r w:rsidRPr="00863211">
              <w:rPr>
                <w:rStyle w:val="SpecialBold"/>
              </w:rPr>
              <w:t>Comments</w:t>
            </w:r>
          </w:p>
        </w:tc>
      </w:tr>
      <w:tr w:rsidTr="00863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211">
            <w:pPr>
              <w:pStyle w:val="BodyText"/>
              <w:rPr>
                <w:lang w:val="en-NZ"/>
              </w:rPr>
            </w:pPr>
            <w:r w:rsidRPr="0086321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211" w:rsidP="00863211">
            <w:pPr>
              <w:pStyle w:val="BodyText"/>
            </w:pPr>
            <w:r w:rsidRPr="00863211">
              <w:t xml:space="preserve">Release 2 HLTDEN030 Assist the dental practitioner during medical emergencies in a dental setting supersedes and is equivalent to Release 1 HLTDEN030 Assist the dental practitioner during medical emergencies in a dental setting. </w:t>
            </w:r>
          </w:p>
          <w:p w:rsidR="00000000" w:rsidRPr="00863211" w:rsidP="00863211">
            <w:pPr>
              <w:pStyle w:val="BodyText"/>
            </w:pPr>
            <w:r w:rsidRPr="00863211">
              <w:t>Updated:</w:t>
            </w:r>
          </w:p>
          <w:p w:rsidR="00000000" w:rsidP="00863211">
            <w:pPr>
              <w:pStyle w:val="BodyText"/>
              <w:rPr>
                <w:lang w:val="en-NZ"/>
              </w:rPr>
            </w:pPr>
            <w:r w:rsidRPr="00863211">
              <w:t>Mapping details a</w:t>
            </w:r>
            <w:r w:rsidRPr="00863211">
              <w:t>nd minor corrections.</w:t>
            </w:r>
          </w:p>
        </w:tc>
      </w:tr>
      <w:tr w:rsidTr="00863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211">
            <w:pPr>
              <w:pStyle w:val="BodyText"/>
              <w:rPr>
                <w:lang w:val="en-NZ"/>
              </w:rPr>
            </w:pPr>
            <w:r w:rsidRPr="0086321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211" w:rsidP="00863211">
            <w:pPr>
              <w:pStyle w:val="BodyText"/>
            </w:pPr>
            <w:r w:rsidRPr="00863211">
              <w:t>HLTDEN030 Assist the dental practitioner during medical emergencies in a dental setting no equivalent unit.</w:t>
            </w:r>
          </w:p>
        </w:tc>
      </w:tr>
    </w:tbl>
    <w:p w:rsidR="00000000" w:rsidRPr="00863211" w:rsidP="00863211">
      <w:pPr>
        <w:pStyle w:val="BodyText"/>
      </w:pPr>
    </w:p>
    <w:p w:rsidR="00000000" w:rsidRPr="00863211" w:rsidP="00863211">
      <w:pPr>
        <w:pStyle w:val="AllowPageBreak"/>
      </w:pPr>
    </w:p>
    <w:p w:rsidR="00000000" w:rsidRPr="00863211" w:rsidP="00863211">
      <w:pPr>
        <w:pStyle w:val="Heading1"/>
      </w:pPr>
      <w:bookmarkStart w:id="2" w:name="O_1201134"/>
      <w:bookmarkEnd w:id="2"/>
      <w:r w:rsidRPr="00863211">
        <w:t>Performance Evidence</w:t>
      </w:r>
    </w:p>
    <w:p w:rsidR="00000000" w:rsidRPr="00863211" w:rsidP="00F92B87">
      <w:pPr>
        <w:pStyle w:val="BodyText"/>
      </w:pPr>
      <w:r w:rsidRPr="00863211">
        <w:t>Evidence of the ability to complete tasks outlined in elements and performance criteria of this unit in the context of the job role, and:</w:t>
      </w:r>
    </w:p>
    <w:p w:rsidR="00000000" w:rsidRPr="00863211" w:rsidP="00863211">
      <w:pPr>
        <w:pStyle w:val="ListBullet"/>
      </w:pPr>
      <w:r w:rsidRPr="00863211">
        <w:t>respond to at least one simulated emergency response situation, contextualised to the candidate’s workplace, includin</w:t>
      </w:r>
      <w:r w:rsidRPr="00863211">
        <w:t xml:space="preserve">g: </w:t>
      </w:r>
    </w:p>
    <w:p w:rsidR="00000000" w:rsidRPr="00863211" w:rsidP="00863211">
      <w:pPr>
        <w:pStyle w:val="ListBullet2"/>
      </w:pPr>
      <w:r w:rsidRPr="00863211">
        <w:t>demonstrating correct response for a medical emergency that is identified by the dental practitioner</w:t>
      </w:r>
    </w:p>
    <w:p w:rsidR="00000000" w:rsidRPr="00863211" w:rsidP="00863211">
      <w:pPr>
        <w:pStyle w:val="ListBullet2"/>
      </w:pPr>
      <w:r w:rsidRPr="00863211">
        <w:t>preparing equipment or medicaments for an identified medical emergency</w:t>
      </w:r>
    </w:p>
    <w:p w:rsidR="00000000" w:rsidRPr="00863211" w:rsidP="00863211">
      <w:pPr>
        <w:pStyle w:val="ListBullet3"/>
      </w:pPr>
      <w:r w:rsidRPr="00863211">
        <w:t>applying safe handling techniques</w:t>
      </w:r>
    </w:p>
    <w:p w:rsidR="00000000" w:rsidRPr="00863211" w:rsidP="00863211">
      <w:pPr>
        <w:pStyle w:val="ListBullet2"/>
      </w:pPr>
      <w:r w:rsidRPr="00863211">
        <w:t>providing an accurate verbal or written report of the incident as directed by the practitioner.</w:t>
      </w:r>
    </w:p>
    <w:p w:rsidR="00000000" w:rsidRPr="00863211" w:rsidP="00863211">
      <w:pPr>
        <w:pStyle w:val="AllowPageBreak"/>
      </w:pPr>
    </w:p>
    <w:p w:rsidR="00000000" w:rsidRPr="00863211" w:rsidP="00863211">
      <w:pPr>
        <w:pStyle w:val="Heading1"/>
      </w:pPr>
      <w:bookmarkStart w:id="3" w:name="O_1201133"/>
      <w:bookmarkEnd w:id="3"/>
      <w:r w:rsidRPr="00863211">
        <w:t>Knowledge Evidence</w:t>
      </w:r>
    </w:p>
    <w:p w:rsidR="00000000" w:rsidRPr="00863211" w:rsidP="00F92B87">
      <w:pPr>
        <w:pStyle w:val="BodyText"/>
      </w:pPr>
      <w:r w:rsidRPr="00863211">
        <w:t>Demonstrated knowledge required to complete the tasks outlined in elements and performance criteria of this unit:</w:t>
      </w:r>
    </w:p>
    <w:p w:rsidR="00000000" w:rsidRPr="00863211" w:rsidP="00863211">
      <w:pPr>
        <w:pStyle w:val="ListBullet"/>
      </w:pPr>
      <w:r w:rsidRPr="00863211">
        <w:t>emergen</w:t>
      </w:r>
      <w:r w:rsidRPr="00863211">
        <w:t>cy response procedures for the dental team including:</w:t>
      </w:r>
    </w:p>
    <w:p w:rsidR="00000000" w:rsidRPr="00863211" w:rsidP="00863211">
      <w:pPr>
        <w:pStyle w:val="ListBullet2"/>
      </w:pPr>
      <w:r w:rsidRPr="00863211">
        <w:t>responsibilities of each person within the team</w:t>
      </w:r>
    </w:p>
    <w:p w:rsidR="00000000" w:rsidRPr="00863211" w:rsidP="00863211">
      <w:pPr>
        <w:pStyle w:val="ListBullet2"/>
      </w:pPr>
      <w:r w:rsidRPr="00863211">
        <w:t>own role and responsibilities within the emergency response procedure</w:t>
      </w:r>
    </w:p>
    <w:p w:rsidR="00000000" w:rsidRPr="00863211" w:rsidP="00863211">
      <w:pPr>
        <w:pStyle w:val="ListBullet"/>
      </w:pPr>
      <w:r w:rsidRPr="00863211">
        <w:t>information to assist with medical emergencies in the dental setting including:</w:t>
      </w:r>
    </w:p>
    <w:p w:rsidR="00000000" w:rsidRPr="00863211" w:rsidP="00863211">
      <w:pPr>
        <w:pStyle w:val="ListBullet2"/>
      </w:pPr>
      <w:r w:rsidRPr="00863211">
        <w:t>patient medical history</w:t>
      </w:r>
    </w:p>
    <w:p w:rsidR="00000000" w:rsidRPr="00863211" w:rsidP="00863211">
      <w:pPr>
        <w:pStyle w:val="ListBullet2"/>
      </w:pPr>
      <w:r w:rsidRPr="00863211">
        <w:t>patient emergency contact details</w:t>
      </w:r>
    </w:p>
    <w:p w:rsidR="00000000" w:rsidRPr="00863211" w:rsidP="00863211">
      <w:pPr>
        <w:pStyle w:val="ListBullet"/>
      </w:pPr>
      <w:r w:rsidRPr="00863211">
        <w:t xml:space="preserve">general emergency response requirements: </w:t>
      </w:r>
    </w:p>
    <w:p w:rsidR="00000000" w:rsidRPr="00863211" w:rsidP="00863211">
      <w:pPr>
        <w:pStyle w:val="ListBullet2"/>
      </w:pPr>
      <w:r w:rsidRPr="00863211">
        <w:t>DRSABCD</w:t>
      </w:r>
    </w:p>
    <w:p w:rsidR="00000000" w:rsidRPr="00863211" w:rsidP="00863211">
      <w:pPr>
        <w:pStyle w:val="ListBullet"/>
      </w:pPr>
      <w:r w:rsidRPr="00863211">
        <w:t>common indicators, causes and emergency response required for medical emergencies in the dental setting including:</w:t>
      </w:r>
    </w:p>
    <w:p w:rsidR="00000000" w:rsidRPr="00863211" w:rsidP="00863211">
      <w:pPr>
        <w:pStyle w:val="ListBullet2"/>
      </w:pPr>
      <w:r w:rsidRPr="00863211">
        <w:t>anxiety</w:t>
      </w:r>
    </w:p>
    <w:p w:rsidR="00000000" w:rsidRPr="00863211" w:rsidP="00863211">
      <w:pPr>
        <w:pStyle w:val="ListBullet2"/>
      </w:pPr>
      <w:r w:rsidRPr="00863211">
        <w:t>sensitivity or allerg</w:t>
      </w:r>
      <w:r w:rsidRPr="00863211">
        <w:t>ic reaction to latex and other allergens</w:t>
      </w:r>
    </w:p>
    <w:p w:rsidR="00000000" w:rsidRPr="00863211" w:rsidP="00863211">
      <w:pPr>
        <w:pStyle w:val="ListBullet2"/>
      </w:pPr>
      <w:r w:rsidRPr="00863211">
        <w:t>cardiac emergencies including angina and myocardial infarction</w:t>
      </w:r>
    </w:p>
    <w:p w:rsidR="00000000" w:rsidRPr="00863211" w:rsidP="00863211">
      <w:pPr>
        <w:pStyle w:val="ListBullet2"/>
      </w:pPr>
      <w:r w:rsidRPr="00863211">
        <w:t>asthma</w:t>
      </w:r>
    </w:p>
    <w:p w:rsidR="00000000" w:rsidRPr="00863211" w:rsidP="00863211">
      <w:pPr>
        <w:pStyle w:val="ListBullet2"/>
      </w:pPr>
      <w:r w:rsidRPr="00863211">
        <w:t>obstruction of the airway including choking</w:t>
      </w:r>
    </w:p>
    <w:p w:rsidR="00000000" w:rsidRPr="00863211" w:rsidP="00863211">
      <w:pPr>
        <w:pStyle w:val="ListBullet2"/>
      </w:pPr>
      <w:r w:rsidRPr="00863211">
        <w:t>diabetes</w:t>
      </w:r>
    </w:p>
    <w:p w:rsidR="00000000" w:rsidRPr="00863211" w:rsidP="00863211">
      <w:pPr>
        <w:pStyle w:val="ListBullet2"/>
      </w:pPr>
      <w:r w:rsidRPr="00863211">
        <w:t>epilepsy</w:t>
      </w:r>
    </w:p>
    <w:p w:rsidR="00000000" w:rsidRPr="00863211" w:rsidP="00863211">
      <w:pPr>
        <w:pStyle w:val="ListBullet2"/>
      </w:pPr>
      <w:r w:rsidRPr="00863211">
        <w:t xml:space="preserve">syncope </w:t>
      </w:r>
    </w:p>
    <w:p w:rsidR="00000000" w:rsidRPr="00863211" w:rsidP="00863211">
      <w:pPr>
        <w:pStyle w:val="ListBullet2"/>
      </w:pPr>
      <w:r w:rsidRPr="00863211">
        <w:t>hypoglycaemia</w:t>
      </w:r>
    </w:p>
    <w:p w:rsidR="00000000" w:rsidRPr="00863211" w:rsidP="00863211">
      <w:pPr>
        <w:pStyle w:val="ListBullet2"/>
      </w:pPr>
      <w:r w:rsidRPr="00863211">
        <w:t>hyperglycaemia</w:t>
      </w:r>
    </w:p>
    <w:p w:rsidR="00000000" w:rsidRPr="00863211" w:rsidP="00863211">
      <w:pPr>
        <w:pStyle w:val="ListBullet2"/>
      </w:pPr>
      <w:r w:rsidRPr="00863211">
        <w:t>hyperventilation</w:t>
      </w:r>
    </w:p>
    <w:p w:rsidR="00000000" w:rsidRPr="00863211" w:rsidP="00863211">
      <w:pPr>
        <w:pStyle w:val="ListBullet2"/>
      </w:pPr>
      <w:r w:rsidRPr="00863211">
        <w:t>haemorrhage</w:t>
      </w:r>
    </w:p>
    <w:p w:rsidR="00000000" w:rsidRPr="00863211" w:rsidP="00863211">
      <w:pPr>
        <w:pStyle w:val="ListBullet2"/>
      </w:pPr>
      <w:r w:rsidRPr="00863211">
        <w:t>ocular incidents</w:t>
      </w:r>
    </w:p>
    <w:p w:rsidR="00000000" w:rsidRPr="00863211" w:rsidP="00863211">
      <w:pPr>
        <w:pStyle w:val="ListBullet2"/>
      </w:pPr>
      <w:r w:rsidRPr="00863211">
        <w:t>muscular paralysis</w:t>
      </w:r>
    </w:p>
    <w:p w:rsidR="00000000" w:rsidRPr="00863211" w:rsidP="00863211">
      <w:pPr>
        <w:pStyle w:val="ListBullet2"/>
      </w:pPr>
      <w:r w:rsidRPr="00863211">
        <w:t>stroke</w:t>
      </w:r>
    </w:p>
    <w:p w:rsidR="00000000" w:rsidRPr="00863211" w:rsidP="00863211">
      <w:pPr>
        <w:pStyle w:val="ListBullet2"/>
      </w:pPr>
      <w:r w:rsidRPr="00863211">
        <w:t>chemical burns</w:t>
      </w:r>
    </w:p>
    <w:p w:rsidR="00000000" w:rsidRPr="00863211" w:rsidP="00863211">
      <w:pPr>
        <w:pStyle w:val="ListBullet3"/>
      </w:pPr>
      <w:r w:rsidRPr="00863211">
        <w:t>silver fluoride or diamine</w:t>
      </w:r>
    </w:p>
    <w:p w:rsidR="00000000" w:rsidRPr="00863211" w:rsidP="00863211">
      <w:pPr>
        <w:pStyle w:val="ListBullet3"/>
      </w:pPr>
      <w:r w:rsidRPr="00863211">
        <w:t>phosphoric acid</w:t>
      </w:r>
    </w:p>
    <w:p w:rsidR="00000000" w:rsidRPr="00863211" w:rsidP="00863211">
      <w:pPr>
        <w:pStyle w:val="ListBullet3"/>
      </w:pPr>
      <w:r w:rsidRPr="00863211">
        <w:t>hydrochloric acid</w:t>
      </w:r>
    </w:p>
    <w:p w:rsidR="00000000" w:rsidRPr="00863211" w:rsidP="00863211">
      <w:pPr>
        <w:pStyle w:val="ListBullet"/>
      </w:pPr>
      <w:r w:rsidRPr="00863211">
        <w:t>maintenance and storage requirements for medicaments and emergency equipment including:</w:t>
      </w:r>
    </w:p>
    <w:p w:rsidR="00000000" w:rsidRPr="00863211" w:rsidP="00863211">
      <w:pPr>
        <w:pStyle w:val="ListBullet2"/>
      </w:pPr>
      <w:r w:rsidRPr="00863211">
        <w:t xml:space="preserve">storage requirements for schedules of drugs which can be legally stored in dental premises </w:t>
      </w:r>
    </w:p>
    <w:p w:rsidR="00000000" w:rsidRPr="00863211" w:rsidP="00863211">
      <w:pPr>
        <w:pStyle w:val="ListBullet2"/>
      </w:pPr>
      <w:r w:rsidRPr="00863211">
        <w:t>relevance of expiry dates</w:t>
      </w:r>
    </w:p>
    <w:p w:rsidR="00000000" w:rsidRPr="00863211" w:rsidP="00863211">
      <w:pPr>
        <w:pStyle w:val="ListBullet2"/>
      </w:pPr>
      <w:r w:rsidRPr="00863211">
        <w:t>maintenance requirements for automated external defibrillators</w:t>
      </w:r>
    </w:p>
    <w:p w:rsidR="00000000" w:rsidRPr="00863211" w:rsidP="00863211">
      <w:pPr>
        <w:pStyle w:val="ListBullet"/>
      </w:pPr>
      <w:r w:rsidRPr="00863211">
        <w:t>organisational policies and procedures for disclosing patient information:</w:t>
      </w:r>
    </w:p>
    <w:p w:rsidR="00000000" w:rsidRPr="00863211" w:rsidP="00863211">
      <w:pPr>
        <w:pStyle w:val="ListBullet2"/>
      </w:pPr>
      <w:r w:rsidRPr="00863211">
        <w:t>privacy requirements</w:t>
      </w:r>
    </w:p>
    <w:p w:rsidR="00000000" w:rsidRPr="00863211" w:rsidP="00863211">
      <w:pPr>
        <w:pStyle w:val="ListBullet2"/>
      </w:pPr>
      <w:r w:rsidRPr="00863211">
        <w:t>appropriate disclosure</w:t>
      </w:r>
    </w:p>
    <w:p w:rsidR="00000000" w:rsidRPr="00863211" w:rsidP="00863211">
      <w:pPr>
        <w:pStyle w:val="ListBullet3"/>
      </w:pPr>
      <w:r w:rsidRPr="00863211">
        <w:t>incident forms</w:t>
      </w:r>
    </w:p>
    <w:p w:rsidR="00000000" w:rsidRPr="00863211" w:rsidP="00863211">
      <w:pPr>
        <w:pStyle w:val="ListBullet3"/>
      </w:pPr>
      <w:r w:rsidRPr="00863211">
        <w:t>reports to supervisor</w:t>
      </w:r>
    </w:p>
    <w:p w:rsidR="00000000" w:rsidRPr="00863211" w:rsidP="00863211">
      <w:pPr>
        <w:pStyle w:val="ListBullet3"/>
      </w:pPr>
      <w:r w:rsidRPr="00863211">
        <w:t>other staff</w:t>
      </w:r>
    </w:p>
    <w:p w:rsidR="00000000" w:rsidRPr="00863211" w:rsidP="00863211">
      <w:pPr>
        <w:pStyle w:val="ListBullet3"/>
      </w:pPr>
      <w:r w:rsidRPr="00863211">
        <w:t>emergency contacts or carers</w:t>
      </w:r>
    </w:p>
    <w:p w:rsidR="00000000" w:rsidRPr="00863211" w:rsidP="00863211">
      <w:pPr>
        <w:pStyle w:val="ListBullet3"/>
      </w:pPr>
      <w:r w:rsidRPr="00863211">
        <w:t>insurance or health funds.</w:t>
      </w:r>
    </w:p>
    <w:p w:rsidR="00000000" w:rsidRPr="00863211" w:rsidP="00863211">
      <w:pPr>
        <w:pStyle w:val="AllowPageBreak"/>
      </w:pPr>
    </w:p>
    <w:p w:rsidR="00000000" w:rsidRPr="00863211" w:rsidP="00863211">
      <w:pPr>
        <w:pStyle w:val="Heading1"/>
      </w:pPr>
      <w:bookmarkStart w:id="4" w:name="O_1201132"/>
      <w:bookmarkEnd w:id="4"/>
      <w:r w:rsidRPr="00863211">
        <w:t>Assessment Conditions</w:t>
      </w:r>
    </w:p>
    <w:p w:rsidR="00000000" w:rsidRPr="00863211" w:rsidP="00F92B87">
      <w:pPr>
        <w:pStyle w:val="BodyText"/>
      </w:pPr>
      <w:r w:rsidRPr="00863211">
        <w:t xml:space="preserve">Skills must be demonstrated in a dental clinic workplace or in a simulated environment the reflects workplace conditions. </w:t>
      </w:r>
    </w:p>
    <w:p w:rsidR="00000000" w:rsidRPr="00863211" w:rsidP="00F92B87">
      <w:pPr>
        <w:pStyle w:val="BodyText"/>
      </w:pPr>
      <w:r w:rsidRPr="00863211">
        <w:t>Assessment must ensure:</w:t>
      </w:r>
    </w:p>
    <w:p w:rsidR="00000000" w:rsidRPr="00863211" w:rsidP="00863211">
      <w:pPr>
        <w:pStyle w:val="ListBullet"/>
      </w:pPr>
      <w:r w:rsidRPr="00863211">
        <w:t>access to suitable facilities, equipment and resources, including:</w:t>
      </w:r>
    </w:p>
    <w:p w:rsidR="00000000" w:rsidRPr="00863211" w:rsidP="00863211">
      <w:pPr>
        <w:pStyle w:val="ListBullet2"/>
      </w:pPr>
      <w:r w:rsidRPr="00863211">
        <w:t>simulated or real medicaments required f</w:t>
      </w:r>
      <w:r w:rsidRPr="00863211">
        <w:t>or medical emergency situations including but not limited to epinephrine, glucose and albuterol</w:t>
      </w:r>
    </w:p>
    <w:p w:rsidR="00000000" w:rsidRPr="00863211" w:rsidP="00863211">
      <w:pPr>
        <w:pStyle w:val="ListBullet2"/>
      </w:pPr>
      <w:r w:rsidRPr="00863211">
        <w:t xml:space="preserve">equipment required for medical emergency situations including automated external defibrillator (AED), operational or training device </w:t>
      </w:r>
    </w:p>
    <w:p w:rsidR="00000000" w:rsidRPr="00863211" w:rsidP="00863211">
      <w:pPr>
        <w:pStyle w:val="ListBullet2"/>
      </w:pPr>
      <w:r w:rsidRPr="00863211">
        <w:t>dental chair</w:t>
      </w:r>
    </w:p>
    <w:p w:rsidR="00000000" w:rsidRPr="00863211" w:rsidP="00863211">
      <w:pPr>
        <w:pStyle w:val="ListBullet"/>
      </w:pPr>
      <w:r w:rsidRPr="00863211">
        <w:t>access to organisational policies and procedures for responding to medical emergencies</w:t>
      </w:r>
    </w:p>
    <w:p w:rsidR="00000000" w:rsidRPr="00863211" w:rsidP="00863211">
      <w:pPr>
        <w:pStyle w:val="ListBullet"/>
      </w:pPr>
      <w:r w:rsidRPr="00863211">
        <w:t>modelling of industry operating conditions including access to people for simulations and scenarios in dental assisting work</w:t>
      </w:r>
    </w:p>
    <w:p w:rsidR="00000000" w:rsidRPr="00863211" w:rsidP="00F92B87">
      <w:pPr>
        <w:pStyle w:val="BodyText"/>
      </w:pPr>
      <w:r w:rsidRPr="00863211">
        <w:t>Assessors must satisfy the Standards for Reg</w:t>
      </w:r>
      <w:r w:rsidRPr="00863211">
        <w:t>istered Training Organisations’ requirements for assessors.</w:t>
      </w:r>
    </w:p>
    <w:p w:rsidR="00000000" w:rsidRPr="00863211" w:rsidP="00863211">
      <w:pPr>
        <w:pStyle w:val="Heading1"/>
      </w:pPr>
      <w:bookmarkStart w:id="5" w:name="O_1201146"/>
      <w:bookmarkEnd w:id="5"/>
      <w:r w:rsidRPr="00863211">
        <w:t>Links</w:t>
      </w:r>
    </w:p>
    <w:p w:rsidR="00000000" w:rsidRPr="00863211" w:rsidP="00F92B87">
      <w:pPr>
        <w:pStyle w:val="BodyText"/>
      </w:pPr>
      <w:r w:rsidRPr="00863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314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63211" w:rsidP="00863211"/>
    <w:sectPr w:rsidSect="008632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11" w:rsidRPr="00F92B87" w:rsidP="00F92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87" w:rsidP="00863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B87" w:rsidP="00863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2B87" w:rsidP="00863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211" w:rsidRPr="00F92B87" w:rsidP="00F92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87" w:rsidRPr="002D2AF8" w:rsidP="00863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HLTDEN030 Assist the dental practitioner during medical emergencies in a dental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92B87" w:rsidP="00863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9C6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82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7A0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211"/>
  </w:style>
  <w:style w:type="character" w:customStyle="1" w:styleId="Heading1Char">
    <w:name w:val="Heading 1 Char"/>
    <w:basedOn w:val="DefaultParagraphFont"/>
    <w:link w:val="Heading1"/>
    <w:rsid w:val="00863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2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211"/>
    <w:rPr>
      <w:b/>
      <w:spacing w:val="0"/>
    </w:rPr>
  </w:style>
  <w:style w:type="paragraph" w:styleId="ListBullet2">
    <w:name w:val="List Bullet 2"/>
    <w:basedOn w:val="List2"/>
    <w:rsid w:val="008632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32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3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2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211"/>
    <w:rPr>
      <w:i/>
    </w:rPr>
  </w:style>
  <w:style w:type="paragraph" w:styleId="Caption">
    <w:name w:val="caption"/>
    <w:basedOn w:val="BodyText"/>
    <w:next w:val="Normal"/>
    <w:qFormat/>
    <w:rsid w:val="00863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211"/>
  </w:style>
  <w:style w:type="paragraph" w:styleId="TableofFigures">
    <w:name w:val="table of figures"/>
    <w:basedOn w:val="Normal"/>
    <w:next w:val="Normal"/>
    <w:semiHidden/>
    <w:rsid w:val="00863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2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3211"/>
    <w:rPr>
      <w:rFonts w:ascii="Wingdings" w:hAnsi="Wingdings"/>
    </w:rPr>
  </w:style>
  <w:style w:type="paragraph" w:customStyle="1" w:styleId="TableHeading">
    <w:name w:val="Table Heading"/>
    <w:basedOn w:val="HeadingBase"/>
    <w:rsid w:val="00863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211"/>
    <w:rPr>
      <w:color w:val="0033CC"/>
      <w:u w:val="none"/>
    </w:rPr>
  </w:style>
  <w:style w:type="paragraph" w:customStyle="1" w:styleId="BodyTextRight">
    <w:name w:val="Body Text Right"/>
    <w:basedOn w:val="BodyText"/>
    <w:rsid w:val="00863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2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211"/>
    <w:rPr>
      <w:sz w:val="32"/>
    </w:rPr>
  </w:style>
  <w:style w:type="paragraph" w:customStyle="1" w:styleId="HeadingProcedure">
    <w:name w:val="Heading Procedure"/>
    <w:basedOn w:val="HeadingBase"/>
    <w:next w:val="Normal"/>
    <w:rsid w:val="00863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211"/>
    <w:pPr>
      <w:spacing w:before="60" w:after="60"/>
    </w:pPr>
  </w:style>
  <w:style w:type="paragraph" w:styleId="ListContinue">
    <w:name w:val="List Continue"/>
    <w:basedOn w:val="List"/>
    <w:rsid w:val="00863211"/>
    <w:pPr>
      <w:ind w:firstLine="0"/>
    </w:pPr>
  </w:style>
  <w:style w:type="paragraph" w:customStyle="1" w:styleId="ListNote">
    <w:name w:val="List Note"/>
    <w:basedOn w:val="List"/>
    <w:rsid w:val="00863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211"/>
    <w:rPr>
      <w:rFonts w:ascii="Courier New" w:hAnsi="Courier New"/>
    </w:rPr>
  </w:style>
  <w:style w:type="paragraph" w:customStyle="1" w:styleId="NoteBullet">
    <w:name w:val="Note Bullet"/>
    <w:basedOn w:val="Note"/>
    <w:rsid w:val="00863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2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3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211"/>
    <w:rPr>
      <w:b/>
      <w:smallCaps/>
    </w:rPr>
  </w:style>
  <w:style w:type="paragraph" w:customStyle="1" w:styleId="TableListNumber">
    <w:name w:val="Table List Number"/>
    <w:basedOn w:val="ListNumber"/>
    <w:rsid w:val="00863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211"/>
    <w:pPr>
      <w:numPr>
        <w:numId w:val="10"/>
      </w:numPr>
    </w:pPr>
  </w:style>
  <w:style w:type="paragraph" w:customStyle="1" w:styleId="ListAlpha2">
    <w:name w:val="List Alpha 2"/>
    <w:basedOn w:val="List2"/>
    <w:rsid w:val="00863211"/>
    <w:pPr>
      <w:numPr>
        <w:numId w:val="9"/>
      </w:numPr>
    </w:pPr>
  </w:style>
  <w:style w:type="paragraph" w:styleId="List2">
    <w:name w:val="List 2"/>
    <w:basedOn w:val="BodyText"/>
    <w:rsid w:val="00863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2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32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3211"/>
    <w:pPr>
      <w:numPr>
        <w:numId w:val="5"/>
      </w:numPr>
    </w:pPr>
  </w:style>
  <w:style w:type="paragraph" w:styleId="ListContinue2">
    <w:name w:val="List Continue 2"/>
    <w:basedOn w:val="List2"/>
    <w:rsid w:val="00863211"/>
    <w:pPr>
      <w:ind w:firstLine="0"/>
    </w:pPr>
  </w:style>
  <w:style w:type="paragraph" w:styleId="ListContinue3">
    <w:name w:val="List Continue 3"/>
    <w:basedOn w:val="List3"/>
    <w:rsid w:val="00863211"/>
    <w:pPr>
      <w:ind w:left="1021" w:firstLine="0"/>
    </w:pPr>
  </w:style>
  <w:style w:type="paragraph" w:styleId="ListContinue4">
    <w:name w:val="List Continue 4"/>
    <w:basedOn w:val="List4"/>
    <w:rsid w:val="00863211"/>
    <w:pPr>
      <w:ind w:firstLine="0"/>
    </w:pPr>
  </w:style>
  <w:style w:type="paragraph" w:styleId="ListContinue5">
    <w:name w:val="List Continue 5"/>
    <w:basedOn w:val="List5"/>
    <w:rsid w:val="00863211"/>
    <w:pPr>
      <w:ind w:firstLine="0"/>
    </w:pPr>
  </w:style>
  <w:style w:type="paragraph" w:styleId="ListNumber3">
    <w:name w:val="List Number 3"/>
    <w:basedOn w:val="List3"/>
    <w:rsid w:val="00863211"/>
    <w:pPr>
      <w:numPr>
        <w:numId w:val="6"/>
      </w:numPr>
    </w:pPr>
  </w:style>
  <w:style w:type="paragraph" w:styleId="ListNumber4">
    <w:name w:val="List Number 4"/>
    <w:basedOn w:val="List4"/>
    <w:rsid w:val="00863211"/>
    <w:pPr>
      <w:numPr>
        <w:numId w:val="7"/>
      </w:numPr>
    </w:pPr>
  </w:style>
  <w:style w:type="paragraph" w:styleId="ListNumber5">
    <w:name w:val="List Number 5"/>
    <w:basedOn w:val="List5"/>
    <w:rsid w:val="00863211"/>
    <w:pPr>
      <w:numPr>
        <w:numId w:val="8"/>
      </w:numPr>
    </w:pPr>
  </w:style>
  <w:style w:type="paragraph" w:styleId="BlockText">
    <w:name w:val="Block Text"/>
    <w:basedOn w:val="Normal"/>
    <w:rsid w:val="00863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211"/>
    <w:rPr>
      <w:sz w:val="16"/>
      <w:vertAlign w:val="superscript"/>
    </w:rPr>
  </w:style>
  <w:style w:type="character" w:customStyle="1" w:styleId="Symbols">
    <w:name w:val="Symbols"/>
    <w:basedOn w:val="DefaultParagraphFont"/>
    <w:rsid w:val="00863211"/>
    <w:rPr>
      <w:rFonts w:ascii="Symbol" w:hAnsi="Symbol"/>
    </w:rPr>
  </w:style>
  <w:style w:type="character" w:customStyle="1" w:styleId="MenuOptions">
    <w:name w:val="Menu Options"/>
    <w:basedOn w:val="DefaultParagraphFont"/>
    <w:rsid w:val="00863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211"/>
    <w:rPr>
      <w:b/>
    </w:rPr>
  </w:style>
  <w:style w:type="character" w:customStyle="1" w:styleId="Underlined">
    <w:name w:val="Underlined"/>
    <w:basedOn w:val="DefaultParagraphFont"/>
    <w:rsid w:val="00863211"/>
    <w:rPr>
      <w:u w:val="single"/>
    </w:rPr>
  </w:style>
  <w:style w:type="paragraph" w:customStyle="1" w:styleId="TableBodyTextRight">
    <w:name w:val="Table Body Text Right"/>
    <w:basedOn w:val="TableBodyText"/>
    <w:rsid w:val="00863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211"/>
    <w:rPr>
      <w:sz w:val="18"/>
    </w:rPr>
  </w:style>
  <w:style w:type="paragraph" w:customStyle="1" w:styleId="BodySmallRight">
    <w:name w:val="Body Small Right"/>
    <w:basedOn w:val="BodyTextRight"/>
    <w:rsid w:val="00863211"/>
    <w:rPr>
      <w:sz w:val="18"/>
      <w:szCs w:val="18"/>
    </w:rPr>
  </w:style>
  <w:style w:type="paragraph" w:customStyle="1" w:styleId="MarginEdition">
    <w:name w:val="Margin Edition"/>
    <w:basedOn w:val="MarginNote"/>
    <w:rsid w:val="00863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211"/>
    <w:rPr>
      <w:sz w:val="2"/>
      <w:szCs w:val="2"/>
    </w:rPr>
  </w:style>
  <w:style w:type="character" w:customStyle="1" w:styleId="Small">
    <w:name w:val="Small"/>
    <w:basedOn w:val="DefaultParagraphFont"/>
    <w:rsid w:val="00863211"/>
    <w:rPr>
      <w:sz w:val="16"/>
    </w:rPr>
  </w:style>
  <w:style w:type="paragraph" w:customStyle="1" w:styleId="WideTable">
    <w:name w:val="Wide Table"/>
    <w:basedOn w:val="Normal"/>
    <w:rsid w:val="00863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211"/>
  </w:style>
  <w:style w:type="paragraph" w:styleId="Quote">
    <w:name w:val="Quote"/>
    <w:basedOn w:val="Heading1"/>
    <w:link w:val="QuoteChar"/>
    <w:qFormat/>
    <w:rsid w:val="00863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211"/>
    <w:pPr>
      <w:pageBreakBefore/>
    </w:pPr>
  </w:style>
  <w:style w:type="paragraph" w:customStyle="1" w:styleId="Border">
    <w:name w:val="Border"/>
    <w:basedOn w:val="Normal"/>
    <w:qFormat/>
    <w:rsid w:val="00863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211"/>
    <w:rPr>
      <w:u w:val="single"/>
    </w:rPr>
  </w:style>
  <w:style w:type="character" w:customStyle="1" w:styleId="BoldandItalics">
    <w:name w:val="Bold and Italics"/>
    <w:qFormat/>
    <w:rsid w:val="00863211"/>
    <w:rPr>
      <w:b/>
      <w:i/>
      <w:u w:val="none"/>
    </w:rPr>
  </w:style>
  <w:style w:type="paragraph" w:styleId="BalloonText">
    <w:name w:val="Balloon Text"/>
    <w:basedOn w:val="Normal"/>
    <w:link w:val="BalloonTextChar"/>
    <w:rsid w:val="00863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211"/>
    <w:pPr>
      <w:spacing w:before="0" w:after="0"/>
    </w:pPr>
  </w:style>
  <w:style w:type="paragraph" w:customStyle="1" w:styleId="BodyTextBold">
    <w:name w:val="Body Text Bold"/>
    <w:basedOn w:val="BodyText"/>
    <w:qFormat/>
    <w:rsid w:val="00863211"/>
    <w:rPr>
      <w:b/>
    </w:rPr>
  </w:style>
  <w:style w:type="character" w:styleId="Hyperlink">
    <w:name w:val="Hyperlink"/>
    <w:basedOn w:val="DefaultParagraphFont"/>
    <w:uiPriority w:val="99"/>
    <w:unhideWhenUsed/>
    <w:rsid w:val="00F92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3432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HLTDEN030 Assist the dental practitioner during medical emergencies in a dental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