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B22" w:rsidP="00142B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HLTDEN029 Assist in dental procedures during relative analgesia</w:t>
      </w:r>
      <w:r>
        <w:fldChar w:fldCharType="end"/>
      </w:r>
    </w:p>
    <w:p w:rsidR="00142B22" w:rsidP="00142B22">
      <w:pPr>
        <w:pStyle w:val="Version"/>
        <w:sectPr w:rsidSect="005F28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2809" w:rsidP="005F2809">
      <w:pPr>
        <w:pStyle w:val="SuperHeading"/>
      </w:pPr>
      <w:r w:rsidRPr="005F2809">
        <w:t>Assessment Requirements for HLTDEN029 Assist in dental procedures during relative analgesia</w:t>
      </w:r>
    </w:p>
    <w:p w:rsidR="00000000" w:rsidRPr="005F2809" w:rsidP="005F2809">
      <w:pPr>
        <w:pStyle w:val="Heading1"/>
      </w:pPr>
      <w:bookmarkStart w:id="1" w:name="O_1201118"/>
      <w:bookmarkEnd w:id="1"/>
      <w:r w:rsidRPr="005F28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5F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2809" w:rsidP="005F2809">
            <w:pPr>
              <w:pStyle w:val="BodyText"/>
            </w:pPr>
            <w:r w:rsidRPr="005F280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2809">
            <w:pPr>
              <w:pStyle w:val="BodyText"/>
              <w:rPr>
                <w:lang w:val="en-NZ"/>
              </w:rPr>
            </w:pPr>
            <w:r w:rsidRPr="005F2809">
              <w:rPr>
                <w:rStyle w:val="SpecialBold"/>
              </w:rPr>
              <w:t>Comments</w:t>
            </w:r>
          </w:p>
        </w:tc>
      </w:tr>
      <w:tr w:rsidTr="005F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09">
            <w:pPr>
              <w:pStyle w:val="BodyText"/>
              <w:rPr>
                <w:lang w:val="en-NZ"/>
              </w:rPr>
            </w:pPr>
            <w:r w:rsidRPr="005F280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09" w:rsidP="005F2809">
            <w:pPr>
              <w:pStyle w:val="BodyText"/>
            </w:pPr>
            <w:r w:rsidRPr="005F2809">
              <w:t xml:space="preserve">Release 2 HLTDEN029 Assist in dental procedures during relative analgesia supersedes and is equivalent to Release 1 HLTDEN029 Assist in dental procedures during relative analgesia. </w:t>
            </w:r>
          </w:p>
          <w:p w:rsidR="00000000" w:rsidRPr="005F2809" w:rsidP="005F2809">
            <w:pPr>
              <w:pStyle w:val="BodyText"/>
            </w:pPr>
            <w:r w:rsidRPr="005F2809">
              <w:t>Updated:</w:t>
            </w:r>
          </w:p>
          <w:p w:rsidR="00000000" w:rsidP="005F2809">
            <w:pPr>
              <w:pStyle w:val="BodyText"/>
              <w:rPr>
                <w:lang w:val="en-NZ"/>
              </w:rPr>
            </w:pPr>
            <w:r w:rsidRPr="005F2809">
              <w:t>Mapping details and minor corrections.</w:t>
            </w:r>
          </w:p>
        </w:tc>
      </w:tr>
      <w:tr w:rsidTr="005F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809">
            <w:pPr>
              <w:pStyle w:val="BodyText"/>
              <w:rPr>
                <w:lang w:val="en-NZ"/>
              </w:rPr>
            </w:pPr>
            <w:r w:rsidRPr="005F280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809" w:rsidP="005F2809">
            <w:pPr>
              <w:pStyle w:val="BodyText"/>
            </w:pPr>
            <w:r w:rsidRPr="005F2809">
              <w:t>HLTDEN029 Assis</w:t>
            </w:r>
            <w:r w:rsidRPr="005F2809">
              <w:t>t in dental procedures during relative analgesia no equivalent unit.</w:t>
            </w:r>
          </w:p>
        </w:tc>
      </w:tr>
    </w:tbl>
    <w:p w:rsidR="00000000" w:rsidRPr="005F2809" w:rsidP="005F2809">
      <w:pPr>
        <w:pStyle w:val="BodyText"/>
      </w:pPr>
    </w:p>
    <w:p w:rsidR="00000000" w:rsidRPr="005F2809" w:rsidP="005F2809">
      <w:pPr>
        <w:pStyle w:val="AllowPageBreak"/>
      </w:pPr>
    </w:p>
    <w:p w:rsidR="00000000" w:rsidRPr="005F2809" w:rsidP="005F2809">
      <w:pPr>
        <w:pStyle w:val="Heading1"/>
      </w:pPr>
      <w:bookmarkStart w:id="2" w:name="O_1201117"/>
      <w:bookmarkEnd w:id="2"/>
      <w:r w:rsidRPr="005F2809">
        <w:t>Performance Evidence</w:t>
      </w:r>
    </w:p>
    <w:p w:rsidR="00000000" w:rsidRPr="005F2809" w:rsidP="00142B22">
      <w:pPr>
        <w:pStyle w:val="BodyText"/>
      </w:pPr>
      <w:r w:rsidRPr="005F2809">
        <w:t>Evidence of the ability to complete tasks outlined in elements and performance criteria of this unit in the context of the job role, and:</w:t>
      </w:r>
    </w:p>
    <w:p w:rsidR="00000000" w:rsidRPr="005F2809" w:rsidP="005F2809">
      <w:pPr>
        <w:pStyle w:val="ListBullet"/>
      </w:pPr>
      <w:r w:rsidRPr="005F2809">
        <w:t>prepare equipment and assist in handling and correctly positioning equipment for the practitioner during at least one dental procedure carried out during administration of relative analgesia:</w:t>
      </w:r>
    </w:p>
    <w:p w:rsidR="00000000" w:rsidRPr="005F2809" w:rsidP="005F2809">
      <w:pPr>
        <w:pStyle w:val="ListBullet2"/>
      </w:pPr>
      <w:r w:rsidRPr="005F2809">
        <w:t>consistently applying safe work practices to ensure patient saf</w:t>
      </w:r>
      <w:r w:rsidRPr="005F2809">
        <w:t>ety during administration of relative analgesia.</w:t>
      </w:r>
    </w:p>
    <w:p w:rsidR="00000000" w:rsidRPr="005F2809" w:rsidP="005F2809">
      <w:pPr>
        <w:pStyle w:val="ListBullet2"/>
      </w:pPr>
      <w:r w:rsidRPr="005F2809">
        <w:t>correctly maintaining and storing instruments, equipment, materials and medicaments.</w:t>
      </w:r>
    </w:p>
    <w:p w:rsidR="00000000" w:rsidRPr="005F2809" w:rsidP="005F2809">
      <w:pPr>
        <w:pStyle w:val="ListBullet"/>
      </w:pPr>
      <w:r w:rsidRPr="005F2809">
        <w:t>support the dental team in the discharge care of at least one patient recovering from a dental procedure following relati</w:t>
      </w:r>
      <w:r w:rsidRPr="005F2809">
        <w:t>ve analgesia.</w:t>
      </w:r>
    </w:p>
    <w:p w:rsidR="00000000" w:rsidRPr="005F2809" w:rsidP="005F2809">
      <w:pPr>
        <w:pStyle w:val="AllowPageBreak"/>
      </w:pPr>
    </w:p>
    <w:p w:rsidR="00000000" w:rsidRPr="005F2809" w:rsidP="005F2809">
      <w:pPr>
        <w:pStyle w:val="Heading1"/>
      </w:pPr>
      <w:bookmarkStart w:id="3" w:name="O_1201116"/>
      <w:bookmarkEnd w:id="3"/>
      <w:r w:rsidRPr="005F2809">
        <w:t>Knowledge Evidence</w:t>
      </w:r>
    </w:p>
    <w:p w:rsidR="00000000" w:rsidRPr="005F2809" w:rsidP="00142B22">
      <w:pPr>
        <w:pStyle w:val="BodyText"/>
      </w:pPr>
      <w:r w:rsidRPr="005F2809">
        <w:t>Demonstrated knowledge required to complete the tasks outlined in elements and performance criteria of this unit:</w:t>
      </w:r>
    </w:p>
    <w:p w:rsidR="00000000" w:rsidRPr="005F2809" w:rsidP="005F2809">
      <w:pPr>
        <w:pStyle w:val="ListBullet"/>
      </w:pPr>
      <w:r w:rsidRPr="005F2809">
        <w:t>national and State or Territory legal and ethical requirements and considerations for den</w:t>
      </w:r>
      <w:r w:rsidRPr="005F2809">
        <w:t>tal assisting work including:</w:t>
      </w:r>
    </w:p>
    <w:p w:rsidR="00000000" w:rsidRPr="005F2809" w:rsidP="005F2809">
      <w:pPr>
        <w:pStyle w:val="ListBullet2"/>
      </w:pPr>
      <w:r w:rsidRPr="005F2809">
        <w:t>codes of practice</w:t>
      </w:r>
    </w:p>
    <w:p w:rsidR="00000000" w:rsidRPr="005F2809" w:rsidP="005F2809">
      <w:pPr>
        <w:pStyle w:val="ListBullet2"/>
      </w:pPr>
      <w:r w:rsidRPr="005F2809">
        <w:t>discrimination</w:t>
      </w:r>
    </w:p>
    <w:p w:rsidR="00000000" w:rsidRPr="005F2809" w:rsidP="005F2809">
      <w:pPr>
        <w:pStyle w:val="ListBullet2"/>
      </w:pPr>
      <w:r w:rsidRPr="005F2809">
        <w:t>duty of care</w:t>
      </w:r>
    </w:p>
    <w:p w:rsidR="00000000" w:rsidRPr="005F2809" w:rsidP="005F2809">
      <w:pPr>
        <w:pStyle w:val="ListBullet2"/>
      </w:pPr>
      <w:r w:rsidRPr="005F2809">
        <w:t>informed consent and statutory requirements of consent</w:t>
      </w:r>
    </w:p>
    <w:p w:rsidR="00000000" w:rsidRPr="005F2809" w:rsidP="005F2809">
      <w:pPr>
        <w:pStyle w:val="ListBullet2"/>
      </w:pPr>
      <w:r w:rsidRPr="005F2809">
        <w:t>current Dental Board of Australia (DBA) and Australian Health Practitioner Regulation Agency (AHPRA) guidelines and practice standards</w:t>
      </w:r>
    </w:p>
    <w:p w:rsidR="00000000" w:rsidRPr="005F2809" w:rsidP="005F2809">
      <w:pPr>
        <w:pStyle w:val="ListBullet2"/>
      </w:pPr>
      <w:r w:rsidRPr="005F2809">
        <w:t>privacy, confidentiality and disclosure</w:t>
      </w:r>
    </w:p>
    <w:p w:rsidR="00000000" w:rsidRPr="005F2809" w:rsidP="005F2809">
      <w:pPr>
        <w:pStyle w:val="ListBullet2"/>
      </w:pPr>
      <w:r w:rsidRPr="005F2809">
        <w:t>records management</w:t>
      </w:r>
    </w:p>
    <w:p w:rsidR="00000000" w:rsidRPr="005F2809" w:rsidP="005F2809">
      <w:pPr>
        <w:pStyle w:val="ListBullet2"/>
      </w:pPr>
      <w:r w:rsidRPr="005F2809">
        <w:t>work role boundaries including responsibilities and limitation</w:t>
      </w:r>
      <w:r w:rsidRPr="005F2809">
        <w:t>s</w:t>
      </w:r>
    </w:p>
    <w:p w:rsidR="00000000" w:rsidRPr="005F2809" w:rsidP="005F2809">
      <w:pPr>
        <w:pStyle w:val="ListBullet2"/>
      </w:pPr>
      <w:r w:rsidRPr="005F2809">
        <w:t>work health and safety (WHS)</w:t>
      </w:r>
    </w:p>
    <w:p w:rsidR="00000000" w:rsidRPr="005F2809" w:rsidP="005F2809">
      <w:pPr>
        <w:pStyle w:val="ListBullet"/>
      </w:pPr>
      <w:r w:rsidRPr="005F2809">
        <w:t>practitioners who are authorised to administer relative analgesia to a patient, and the assessment process required before dental procedure is carried out</w:t>
      </w:r>
    </w:p>
    <w:p w:rsidR="00000000" w:rsidRPr="005F2809" w:rsidP="005F2809">
      <w:pPr>
        <w:pStyle w:val="ListBullet"/>
      </w:pPr>
      <w:r w:rsidRPr="005F2809">
        <w:t>levels of consciousness</w:t>
      </w:r>
    </w:p>
    <w:p w:rsidR="00000000" w:rsidRPr="005F2809" w:rsidP="005F2809">
      <w:pPr>
        <w:pStyle w:val="ListBullet"/>
      </w:pPr>
      <w:r w:rsidRPr="005F2809">
        <w:t>gases used for relative analgesia</w:t>
      </w:r>
    </w:p>
    <w:p w:rsidR="00000000" w:rsidRPr="005F2809" w:rsidP="005F2809">
      <w:pPr>
        <w:pStyle w:val="ListBullet"/>
      </w:pPr>
      <w:r w:rsidRPr="005F2809">
        <w:t>basic histo</w:t>
      </w:r>
      <w:r w:rsidRPr="005F2809">
        <w:t>ry of relative analgesia used in dental treatment</w:t>
      </w:r>
    </w:p>
    <w:p w:rsidR="00000000" w:rsidRPr="005F2809" w:rsidP="005F2809">
      <w:pPr>
        <w:pStyle w:val="ListBullet"/>
      </w:pPr>
      <w:r w:rsidRPr="005F2809">
        <w:t>basic properties of nitrous oxide and oxygen gases and contraindications management of risks and safeguards associated with relative analgesia including but not limited to:</w:t>
      </w:r>
    </w:p>
    <w:p w:rsidR="00000000" w:rsidRPr="005F2809" w:rsidP="005F2809">
      <w:pPr>
        <w:pStyle w:val="ListBullet2"/>
      </w:pPr>
      <w:r w:rsidRPr="005F2809">
        <w:t>ANZCA PS09 Guideline on sedation</w:t>
      </w:r>
      <w:r w:rsidRPr="005F2809">
        <w:t xml:space="preserve"> and analgesia for diagnostic and interventional medical, dental or surgical procedures.</w:t>
      </w:r>
    </w:p>
    <w:p w:rsidR="00000000" w:rsidRPr="005F2809" w:rsidP="005F2809">
      <w:pPr>
        <w:pStyle w:val="ListBullet2"/>
      </w:pPr>
      <w:r w:rsidRPr="005F2809">
        <w:t>storage of cylinders including WHS regulations</w:t>
      </w:r>
    </w:p>
    <w:p w:rsidR="00000000" w:rsidRPr="005F2809" w:rsidP="005F2809">
      <w:pPr>
        <w:pStyle w:val="ListBullet2"/>
      </w:pPr>
      <w:r w:rsidRPr="005F2809">
        <w:t>international colour code of RA gas cylinders.</w:t>
      </w:r>
    </w:p>
    <w:p w:rsidR="00000000" w:rsidRPr="005F2809" w:rsidP="005F2809">
      <w:pPr>
        <w:pStyle w:val="ListBullet2"/>
      </w:pPr>
      <w:r w:rsidRPr="005F2809">
        <w:t>safe management of patient behavioural changes</w:t>
      </w:r>
    </w:p>
    <w:p w:rsidR="00000000" w:rsidRPr="005F2809" w:rsidP="005F2809">
      <w:pPr>
        <w:pStyle w:val="ListBullet2"/>
      </w:pPr>
      <w:r w:rsidRPr="005F2809">
        <w:t>unconsciousness</w:t>
      </w:r>
    </w:p>
    <w:p w:rsidR="00000000" w:rsidRPr="005F2809" w:rsidP="005F2809">
      <w:pPr>
        <w:pStyle w:val="ListBullet2"/>
      </w:pPr>
      <w:r w:rsidRPr="005F2809">
        <w:t>nausea</w:t>
      </w:r>
    </w:p>
    <w:p w:rsidR="00000000" w:rsidRPr="005F2809" w:rsidP="005F2809">
      <w:pPr>
        <w:pStyle w:val="ListBullet"/>
      </w:pPr>
      <w:r w:rsidRPr="005F2809">
        <w:t>differing standards of equipment and staffing at the locations where procedures are performed</w:t>
      </w:r>
    </w:p>
    <w:p w:rsidR="00000000" w:rsidRPr="005F2809" w:rsidP="005F2809">
      <w:pPr>
        <w:pStyle w:val="ListBullet"/>
      </w:pPr>
      <w:r w:rsidRPr="005F2809">
        <w:t>instructions for use of resuscitation equipment or defibrillator</w:t>
      </w:r>
    </w:p>
    <w:p w:rsidR="00000000" w:rsidRPr="005F2809" w:rsidP="005F2809">
      <w:pPr>
        <w:pStyle w:val="ListBullet"/>
      </w:pPr>
      <w:r w:rsidRPr="005F2809">
        <w:t>basic functions and maintenance of equipment used to administer relative analgesia including anti</w:t>
      </w:r>
      <w:r w:rsidRPr="005F2809">
        <w:t>-hypoxic device, flow rate, scavenger hose, non-return valve and equipment used in monitoring a patient pre- and post-dental procedure</w:t>
      </w:r>
    </w:p>
    <w:p w:rsidR="00000000" w:rsidRPr="005F2809" w:rsidP="005F2809">
      <w:pPr>
        <w:pStyle w:val="ListBullet"/>
      </w:pPr>
      <w:r w:rsidRPr="005F2809">
        <w:t>reasons for keeping accurate records of oral conditions, treatments and the administration of relative analgesia</w:t>
      </w:r>
    </w:p>
    <w:p w:rsidR="00000000" w:rsidRPr="005F2809" w:rsidP="005F2809">
      <w:pPr>
        <w:pStyle w:val="ListBullet"/>
      </w:pPr>
      <w:r w:rsidRPr="005F2809">
        <w:t xml:space="preserve">reasons </w:t>
      </w:r>
      <w:r w:rsidRPr="005F2809">
        <w:t>why patients need to follow pre- and post-operative instructions, and the importance of this</w:t>
      </w:r>
    </w:p>
    <w:p w:rsidR="00000000" w:rsidRPr="005F2809" w:rsidP="005F2809">
      <w:pPr>
        <w:pStyle w:val="ListBullet"/>
      </w:pPr>
      <w:r w:rsidRPr="005F2809">
        <w:t>discharge instructions post-recovery and observation of patient into the care of a responsible person after authorisation from dental practitioner</w:t>
      </w:r>
    </w:p>
    <w:p w:rsidR="00000000" w:rsidRPr="005F2809" w:rsidP="005F2809">
      <w:pPr>
        <w:pStyle w:val="ListBullet2"/>
      </w:pPr>
      <w:r w:rsidRPr="005F2809">
        <w:t>medical emergen</w:t>
      </w:r>
      <w:r w:rsidRPr="005F2809">
        <w:t>cies and complications that may arise during and after relative analgesia and appropriate medical response and treatment given by the dental team.</w:t>
      </w:r>
    </w:p>
    <w:p w:rsidR="00000000" w:rsidRPr="005F2809" w:rsidP="005F2809">
      <w:pPr>
        <w:pStyle w:val="AllowPageBreak"/>
      </w:pPr>
    </w:p>
    <w:p w:rsidR="00000000" w:rsidRPr="005F2809" w:rsidP="005F2809">
      <w:pPr>
        <w:pStyle w:val="Heading1"/>
      </w:pPr>
      <w:bookmarkStart w:id="4" w:name="O_1201115"/>
      <w:bookmarkEnd w:id="4"/>
      <w:r w:rsidRPr="005F2809">
        <w:t>Assessment Conditions</w:t>
      </w:r>
    </w:p>
    <w:p w:rsidR="00000000" w:rsidRPr="005F2809" w:rsidP="00142B22">
      <w:pPr>
        <w:pStyle w:val="BodyText"/>
      </w:pPr>
      <w:r w:rsidRPr="005F2809">
        <w:t>Skills must be demonstrated in a dental clinic workplace with the ad</w:t>
      </w:r>
      <w:r w:rsidRPr="005F2809">
        <w:t xml:space="preserve">dition of simulations and scenarios where the full range of contexts and situations cannot be provided in the workplace. </w:t>
      </w:r>
    </w:p>
    <w:p w:rsidR="00000000" w:rsidRPr="005F2809" w:rsidP="00142B22">
      <w:pPr>
        <w:pStyle w:val="BodyText"/>
      </w:pPr>
      <w:r w:rsidRPr="005F2809">
        <w:t>The activities outlined in the performance criteria of this unit must be performed on at least three people prior to the learner being</w:t>
      </w:r>
      <w:r w:rsidRPr="005F2809">
        <w:t xml:space="preserve"> assessed in the activities outlined in the performance evidence.</w:t>
      </w:r>
    </w:p>
    <w:p w:rsidR="00000000" w:rsidRPr="005F2809" w:rsidP="00142B22">
      <w:pPr>
        <w:pStyle w:val="BodyText"/>
      </w:pPr>
      <w:r w:rsidRPr="005F2809">
        <w:t>Assessment must ensure:</w:t>
      </w:r>
    </w:p>
    <w:p w:rsidR="00000000" w:rsidRPr="005F2809" w:rsidP="005F2809">
      <w:pPr>
        <w:pStyle w:val="ListBullet"/>
      </w:pPr>
      <w:r w:rsidRPr="005F2809">
        <w:t>access to suitable facilities, equipment and resources, including:</w:t>
      </w:r>
    </w:p>
    <w:p w:rsidR="00000000" w:rsidRPr="005F2809" w:rsidP="005F2809">
      <w:pPr>
        <w:pStyle w:val="ListBullet2"/>
      </w:pPr>
      <w:r w:rsidRPr="005F2809">
        <w:t>barrier protection materials</w:t>
      </w:r>
    </w:p>
    <w:p w:rsidR="00000000" w:rsidRPr="005F2809" w:rsidP="005F2809">
      <w:pPr>
        <w:pStyle w:val="ListBullet2"/>
      </w:pPr>
      <w:r w:rsidRPr="005F2809">
        <w:t>dental chair and unit</w:t>
      </w:r>
    </w:p>
    <w:p w:rsidR="00000000" w:rsidRPr="005F2809" w:rsidP="005F2809">
      <w:pPr>
        <w:pStyle w:val="ListBullet2"/>
      </w:pPr>
      <w:r w:rsidRPr="005F2809">
        <w:t>functioning relative analge</w:t>
      </w:r>
      <w:r w:rsidRPr="005F2809">
        <w:t>sia delivery equipment</w:t>
      </w:r>
    </w:p>
    <w:p w:rsidR="00000000" w:rsidRPr="005F2809" w:rsidP="005F2809">
      <w:pPr>
        <w:pStyle w:val="ListBullet2"/>
      </w:pPr>
      <w:r w:rsidRPr="005F2809">
        <w:t>oxygen and nitrous oxide gas flow</w:t>
      </w:r>
    </w:p>
    <w:p w:rsidR="00000000" w:rsidRPr="005F2809" w:rsidP="005F2809">
      <w:pPr>
        <w:pStyle w:val="ListBullet2"/>
      </w:pPr>
      <w:r w:rsidRPr="005F2809">
        <w:t>access to resuscitation equipment</w:t>
      </w:r>
    </w:p>
    <w:p w:rsidR="00000000" w:rsidRPr="005F2809" w:rsidP="005F2809">
      <w:pPr>
        <w:pStyle w:val="ListBullet2"/>
      </w:pPr>
      <w:r w:rsidRPr="005F2809">
        <w:t>suctioning and practitioner lighting</w:t>
      </w:r>
    </w:p>
    <w:p w:rsidR="00000000" w:rsidRPr="005F2809" w:rsidP="005F2809">
      <w:pPr>
        <w:pStyle w:val="ListBullet2"/>
      </w:pPr>
      <w:r w:rsidRPr="005F2809">
        <w:t>waste disposal equipment</w:t>
      </w:r>
    </w:p>
    <w:p w:rsidR="00000000" w:rsidRPr="005F2809" w:rsidP="005F2809">
      <w:pPr>
        <w:pStyle w:val="ListBullet"/>
      </w:pPr>
      <w:r w:rsidRPr="005F2809">
        <w:t>access to current Dental Board of Australia (DBA) and Australian Health Practitioner Regulation Agency</w:t>
      </w:r>
      <w:r w:rsidRPr="005F2809">
        <w:t xml:space="preserve"> (AHPRA) guidelines and practice standards</w:t>
      </w:r>
    </w:p>
    <w:p w:rsidR="00000000" w:rsidRPr="005F2809" w:rsidP="005F2809">
      <w:pPr>
        <w:pStyle w:val="ListBullet"/>
      </w:pPr>
      <w:r w:rsidRPr="005F2809">
        <w:t>access to current Dental Board of Australia (DBA) infection control and record keeping guidelines</w:t>
      </w:r>
    </w:p>
    <w:p w:rsidR="00000000" w:rsidRPr="005F2809" w:rsidP="005F2809">
      <w:pPr>
        <w:pStyle w:val="ListBullet"/>
      </w:pPr>
      <w:r w:rsidRPr="005F2809">
        <w:t>access to NZCA PS09 Guideline on sedation and analgesia for diagnostic and interventional medical, dental or surgic</w:t>
      </w:r>
      <w:r w:rsidRPr="005F2809">
        <w:t>al procedures</w:t>
      </w:r>
    </w:p>
    <w:p w:rsidR="00000000" w:rsidRPr="005F2809" w:rsidP="005F2809">
      <w:pPr>
        <w:pStyle w:val="ListBullet"/>
      </w:pPr>
      <w:r w:rsidRPr="005F2809">
        <w:t>modelling of industry operating conditions including access to people for simulations and scenarios in dental assisting work</w:t>
      </w:r>
    </w:p>
    <w:p w:rsidR="00000000" w:rsidRPr="005F2809" w:rsidP="00142B22">
      <w:pPr>
        <w:pStyle w:val="BodyText"/>
      </w:pPr>
      <w:r w:rsidRPr="005F2809">
        <w:t>Assessment must involve demonstration of tasks under the direction of a dental practitioner qualified to use relative</w:t>
      </w:r>
      <w:r w:rsidRPr="005F2809">
        <w:t xml:space="preserve"> analgesia.</w:t>
      </w:r>
    </w:p>
    <w:p w:rsidR="00000000" w:rsidRPr="005F2809" w:rsidP="00142B22">
      <w:pPr>
        <w:pStyle w:val="BodyText"/>
      </w:pPr>
      <w:r w:rsidRPr="005F2809">
        <w:t>Assessors must satisfy the Standards for Registered Training Organisations’ requirements for assessors, hold a minimum of five years clinical dental experience assisting during relative analgesia and hold current registration to administer rela</w:t>
      </w:r>
      <w:r w:rsidRPr="005F2809">
        <w:t>tive analgesia.</w:t>
      </w:r>
    </w:p>
    <w:p w:rsidR="00000000" w:rsidRPr="005F2809" w:rsidP="005F2809">
      <w:pPr>
        <w:pStyle w:val="Heading1"/>
      </w:pPr>
      <w:bookmarkStart w:id="5" w:name="O_1201129"/>
      <w:bookmarkEnd w:id="5"/>
      <w:r w:rsidRPr="005F2809">
        <w:t>Links</w:t>
      </w:r>
    </w:p>
    <w:p w:rsidR="00000000" w:rsidRPr="005F2809" w:rsidP="00142B22">
      <w:pPr>
        <w:pStyle w:val="BodyText"/>
      </w:pPr>
      <w:r w:rsidRPr="005F28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E58B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F2809" w:rsidP="005F2809"/>
    <w:sectPr w:rsidSect="005F28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8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809" w:rsidRPr="00142B22" w:rsidP="00142B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8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B22" w:rsidP="005F28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2B22" w:rsidP="005F28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42B22" w:rsidP="005F28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8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B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809" w:rsidRPr="00142B22" w:rsidP="00142B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8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B22" w:rsidRPr="002D2AF8" w:rsidP="005F28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HLTDEN029 Assist in dental procedures during relative analgesia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42B22" w:rsidP="005F28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3A6B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FA6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0CA3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8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8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8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8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8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8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8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8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8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8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8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809"/>
  </w:style>
  <w:style w:type="character" w:customStyle="1" w:styleId="Heading1Char">
    <w:name w:val="Heading 1 Char"/>
    <w:basedOn w:val="DefaultParagraphFont"/>
    <w:link w:val="Heading1"/>
    <w:rsid w:val="005F28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8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8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28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2809"/>
    <w:rPr>
      <w:b/>
      <w:spacing w:val="0"/>
    </w:rPr>
  </w:style>
  <w:style w:type="paragraph" w:styleId="ListBullet2">
    <w:name w:val="List Bullet 2"/>
    <w:basedOn w:val="List2"/>
    <w:rsid w:val="005F28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28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8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28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8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8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8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8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8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8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8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8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8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8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8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8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8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28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28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28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8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8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28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8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8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8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8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8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8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8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8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2809"/>
    <w:rPr>
      <w:i/>
    </w:rPr>
  </w:style>
  <w:style w:type="paragraph" w:styleId="Caption">
    <w:name w:val="caption"/>
    <w:basedOn w:val="BodyText"/>
    <w:next w:val="Normal"/>
    <w:qFormat/>
    <w:rsid w:val="005F28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8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8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809"/>
  </w:style>
  <w:style w:type="paragraph" w:styleId="TableofFigures">
    <w:name w:val="table of figures"/>
    <w:basedOn w:val="Normal"/>
    <w:next w:val="Normal"/>
    <w:semiHidden/>
    <w:rsid w:val="005F28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8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2809"/>
    <w:rPr>
      <w:rFonts w:ascii="Wingdings" w:hAnsi="Wingdings"/>
    </w:rPr>
  </w:style>
  <w:style w:type="paragraph" w:customStyle="1" w:styleId="TableHeading">
    <w:name w:val="Table Heading"/>
    <w:basedOn w:val="HeadingBase"/>
    <w:rsid w:val="005F28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809"/>
    <w:rPr>
      <w:color w:val="0033CC"/>
      <w:u w:val="none"/>
    </w:rPr>
  </w:style>
  <w:style w:type="paragraph" w:customStyle="1" w:styleId="BodyTextRight">
    <w:name w:val="Body Text Right"/>
    <w:basedOn w:val="BodyText"/>
    <w:rsid w:val="005F28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8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8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8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8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8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809"/>
    <w:rPr>
      <w:sz w:val="32"/>
    </w:rPr>
  </w:style>
  <w:style w:type="paragraph" w:customStyle="1" w:styleId="HeadingProcedure">
    <w:name w:val="Heading Procedure"/>
    <w:basedOn w:val="HeadingBase"/>
    <w:next w:val="Normal"/>
    <w:rsid w:val="005F28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809"/>
    <w:pPr>
      <w:spacing w:before="60" w:after="60"/>
    </w:pPr>
  </w:style>
  <w:style w:type="paragraph" w:styleId="ListContinue">
    <w:name w:val="List Continue"/>
    <w:basedOn w:val="List"/>
    <w:rsid w:val="005F2809"/>
    <w:pPr>
      <w:ind w:firstLine="0"/>
    </w:pPr>
  </w:style>
  <w:style w:type="paragraph" w:customStyle="1" w:styleId="ListNote">
    <w:name w:val="List Note"/>
    <w:basedOn w:val="List"/>
    <w:rsid w:val="005F28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8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8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809"/>
    <w:rPr>
      <w:rFonts w:ascii="Courier New" w:hAnsi="Courier New"/>
    </w:rPr>
  </w:style>
  <w:style w:type="paragraph" w:customStyle="1" w:styleId="NoteBullet">
    <w:name w:val="Note Bullet"/>
    <w:basedOn w:val="Note"/>
    <w:rsid w:val="005F28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8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8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8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8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28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8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809"/>
    <w:rPr>
      <w:b/>
      <w:smallCaps/>
    </w:rPr>
  </w:style>
  <w:style w:type="paragraph" w:customStyle="1" w:styleId="TableListNumber">
    <w:name w:val="Table List Number"/>
    <w:basedOn w:val="ListNumber"/>
    <w:rsid w:val="005F28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8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809"/>
    <w:pPr>
      <w:numPr>
        <w:numId w:val="9"/>
      </w:numPr>
    </w:pPr>
  </w:style>
  <w:style w:type="paragraph" w:customStyle="1" w:styleId="ListAlpha2">
    <w:name w:val="List Alpha 2"/>
    <w:basedOn w:val="List2"/>
    <w:rsid w:val="005F2809"/>
    <w:pPr>
      <w:numPr>
        <w:numId w:val="8"/>
      </w:numPr>
    </w:pPr>
  </w:style>
  <w:style w:type="paragraph" w:styleId="List2">
    <w:name w:val="List 2"/>
    <w:basedOn w:val="BodyText"/>
    <w:rsid w:val="005F28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8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8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8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8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8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2809"/>
    <w:pPr>
      <w:numPr>
        <w:numId w:val="4"/>
      </w:numPr>
    </w:pPr>
  </w:style>
  <w:style w:type="paragraph" w:styleId="ListContinue2">
    <w:name w:val="List Continue 2"/>
    <w:basedOn w:val="List2"/>
    <w:rsid w:val="005F2809"/>
    <w:pPr>
      <w:ind w:firstLine="0"/>
    </w:pPr>
  </w:style>
  <w:style w:type="paragraph" w:styleId="ListContinue3">
    <w:name w:val="List Continue 3"/>
    <w:basedOn w:val="List3"/>
    <w:rsid w:val="005F2809"/>
    <w:pPr>
      <w:ind w:left="1021" w:firstLine="0"/>
    </w:pPr>
  </w:style>
  <w:style w:type="paragraph" w:styleId="ListContinue4">
    <w:name w:val="List Continue 4"/>
    <w:basedOn w:val="List4"/>
    <w:rsid w:val="005F2809"/>
    <w:pPr>
      <w:ind w:firstLine="0"/>
    </w:pPr>
  </w:style>
  <w:style w:type="paragraph" w:styleId="ListContinue5">
    <w:name w:val="List Continue 5"/>
    <w:basedOn w:val="List5"/>
    <w:rsid w:val="005F2809"/>
    <w:pPr>
      <w:ind w:firstLine="0"/>
    </w:pPr>
  </w:style>
  <w:style w:type="paragraph" w:styleId="ListNumber3">
    <w:name w:val="List Number 3"/>
    <w:basedOn w:val="List3"/>
    <w:rsid w:val="005F2809"/>
    <w:pPr>
      <w:numPr>
        <w:numId w:val="5"/>
      </w:numPr>
    </w:pPr>
  </w:style>
  <w:style w:type="paragraph" w:styleId="ListNumber4">
    <w:name w:val="List Number 4"/>
    <w:basedOn w:val="List4"/>
    <w:rsid w:val="005F2809"/>
    <w:pPr>
      <w:numPr>
        <w:numId w:val="6"/>
      </w:numPr>
    </w:pPr>
  </w:style>
  <w:style w:type="paragraph" w:styleId="ListNumber5">
    <w:name w:val="List Number 5"/>
    <w:basedOn w:val="List5"/>
    <w:rsid w:val="005F2809"/>
    <w:pPr>
      <w:numPr>
        <w:numId w:val="7"/>
      </w:numPr>
    </w:pPr>
  </w:style>
  <w:style w:type="paragraph" w:styleId="BlockText">
    <w:name w:val="Block Text"/>
    <w:basedOn w:val="Normal"/>
    <w:rsid w:val="005F28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8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809"/>
    <w:rPr>
      <w:sz w:val="16"/>
      <w:vertAlign w:val="superscript"/>
    </w:rPr>
  </w:style>
  <w:style w:type="character" w:customStyle="1" w:styleId="Symbols">
    <w:name w:val="Symbols"/>
    <w:basedOn w:val="DefaultParagraphFont"/>
    <w:rsid w:val="005F2809"/>
    <w:rPr>
      <w:rFonts w:ascii="Symbol" w:hAnsi="Symbol"/>
    </w:rPr>
  </w:style>
  <w:style w:type="character" w:customStyle="1" w:styleId="MenuOptions">
    <w:name w:val="Menu Options"/>
    <w:basedOn w:val="DefaultParagraphFont"/>
    <w:rsid w:val="005F28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809"/>
    <w:rPr>
      <w:b/>
    </w:rPr>
  </w:style>
  <w:style w:type="character" w:customStyle="1" w:styleId="Underlined">
    <w:name w:val="Underlined"/>
    <w:basedOn w:val="DefaultParagraphFont"/>
    <w:rsid w:val="005F2809"/>
    <w:rPr>
      <w:u w:val="single"/>
    </w:rPr>
  </w:style>
  <w:style w:type="paragraph" w:customStyle="1" w:styleId="TableBodyTextRight">
    <w:name w:val="Table Body Text Right"/>
    <w:basedOn w:val="TableBodyText"/>
    <w:rsid w:val="005F28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809"/>
    <w:rPr>
      <w:sz w:val="18"/>
    </w:rPr>
  </w:style>
  <w:style w:type="paragraph" w:customStyle="1" w:styleId="BodySmallRight">
    <w:name w:val="Body Small Right"/>
    <w:basedOn w:val="BodyTextRight"/>
    <w:rsid w:val="005F2809"/>
    <w:rPr>
      <w:sz w:val="18"/>
      <w:szCs w:val="18"/>
    </w:rPr>
  </w:style>
  <w:style w:type="paragraph" w:customStyle="1" w:styleId="MarginEdition">
    <w:name w:val="Margin Edition"/>
    <w:basedOn w:val="MarginNote"/>
    <w:rsid w:val="005F28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809"/>
    <w:rPr>
      <w:sz w:val="2"/>
      <w:szCs w:val="2"/>
    </w:rPr>
  </w:style>
  <w:style w:type="character" w:customStyle="1" w:styleId="Small">
    <w:name w:val="Small"/>
    <w:basedOn w:val="DefaultParagraphFont"/>
    <w:rsid w:val="005F2809"/>
    <w:rPr>
      <w:sz w:val="16"/>
    </w:rPr>
  </w:style>
  <w:style w:type="paragraph" w:customStyle="1" w:styleId="WideTable">
    <w:name w:val="Wide Table"/>
    <w:basedOn w:val="Normal"/>
    <w:rsid w:val="005F28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809"/>
  </w:style>
  <w:style w:type="paragraph" w:styleId="Quote">
    <w:name w:val="Quote"/>
    <w:basedOn w:val="Heading1"/>
    <w:link w:val="QuoteChar"/>
    <w:qFormat/>
    <w:rsid w:val="005F28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8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809"/>
    <w:pPr>
      <w:pageBreakBefore/>
    </w:pPr>
  </w:style>
  <w:style w:type="paragraph" w:customStyle="1" w:styleId="Border">
    <w:name w:val="Border"/>
    <w:basedOn w:val="Normal"/>
    <w:qFormat/>
    <w:rsid w:val="005F28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8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8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8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8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8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8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8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8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809"/>
    <w:rPr>
      <w:u w:val="single"/>
    </w:rPr>
  </w:style>
  <w:style w:type="character" w:customStyle="1" w:styleId="BoldandItalics">
    <w:name w:val="Bold and Italics"/>
    <w:qFormat/>
    <w:rsid w:val="005F2809"/>
    <w:rPr>
      <w:b/>
      <w:i/>
      <w:u w:val="none"/>
    </w:rPr>
  </w:style>
  <w:style w:type="paragraph" w:styleId="BalloonText">
    <w:name w:val="Balloon Text"/>
    <w:basedOn w:val="Normal"/>
    <w:link w:val="BalloonTextChar"/>
    <w:rsid w:val="005F28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8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8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8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8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8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809"/>
    <w:pPr>
      <w:spacing w:before="0" w:after="0"/>
    </w:pPr>
  </w:style>
  <w:style w:type="paragraph" w:customStyle="1" w:styleId="BodyTextBold">
    <w:name w:val="Body Text Bold"/>
    <w:basedOn w:val="BodyText"/>
    <w:qFormat/>
    <w:rsid w:val="005F2809"/>
    <w:rPr>
      <w:b/>
    </w:rPr>
  </w:style>
  <w:style w:type="character" w:styleId="Hyperlink">
    <w:name w:val="Hyperlink"/>
    <w:basedOn w:val="DefaultParagraphFont"/>
    <w:uiPriority w:val="99"/>
    <w:unhideWhenUsed/>
    <w:rsid w:val="00142B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4757</Characters>
  <Application>Microsoft Office Word</Application>
  <DocSecurity>0</DocSecurity>
  <Lines>113</Lines>
  <Paragraphs>79</Paragraphs>
  <ScaleCrop>false</ScaleCrop>
  <Company>Author-it Software Corporation Ltd.</Company>
  <LinksUpToDate>false</LinksUpToDate>
  <CharactersWithSpaces>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HLTDEN029 Assist in dental procedures during relative analgesia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2023-07-02T01:14:00Z</dcterms:created>
  <dcterms:modified xsi:type="dcterms:W3CDTF">2023-07-02T01:14:00Z</dcterms:modified>
</cp:coreProperties>
</file>