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5D1" w:rsidP="00F15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HLTDEN027 Take a clinical photograph</w:t>
      </w:r>
      <w:r>
        <w:fldChar w:fldCharType="end"/>
      </w:r>
    </w:p>
    <w:p w:rsidR="00F155D1" w:rsidP="00F155D1">
      <w:pPr>
        <w:pStyle w:val="Version"/>
        <w:sectPr w:rsidSect="00BC1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19E2" w:rsidP="00BC19E2">
      <w:pPr>
        <w:pStyle w:val="SuperHeading"/>
      </w:pPr>
      <w:r w:rsidRPr="00BC19E2">
        <w:t>HLTDEN027 Take a clinical photograph</w:t>
      </w:r>
    </w:p>
    <w:p w:rsidR="00000000" w:rsidRPr="00BC19E2" w:rsidP="00BC19E2">
      <w:pPr>
        <w:pStyle w:val="Heading1"/>
      </w:pPr>
      <w:bookmarkStart w:id="1" w:name="O_1201093"/>
      <w:bookmarkEnd w:id="1"/>
      <w:r w:rsidRPr="00BC19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19E2" w:rsidP="00BC19E2">
            <w:pPr>
              <w:pStyle w:val="BodyText"/>
            </w:pPr>
            <w:r w:rsidRPr="00BC19E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19E2">
            <w:pPr>
              <w:pStyle w:val="BodyText"/>
              <w:rPr>
                <w:lang w:val="en-NZ"/>
              </w:rPr>
            </w:pPr>
            <w:r w:rsidRPr="00BC19E2">
              <w:rPr>
                <w:rStyle w:val="SpecialBold"/>
              </w:rPr>
              <w:t>Comments</w:t>
            </w:r>
          </w:p>
        </w:tc>
      </w:tr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BodyText"/>
              <w:rPr>
                <w:lang w:val="en-NZ"/>
              </w:rPr>
            </w:pPr>
            <w:r w:rsidRPr="00BC19E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BodyText"/>
            </w:pPr>
            <w:r w:rsidRPr="00BC19E2">
              <w:t>Release 2 HLTDEN027 Take a clinical photograph supersedes and is equivalent to Release 1 HLTDEN027 Take a clinical photograph.</w:t>
            </w:r>
          </w:p>
          <w:p w:rsidR="00000000" w:rsidRPr="00BC19E2" w:rsidP="00BC19E2">
            <w:pPr>
              <w:pStyle w:val="BodyText"/>
            </w:pPr>
            <w:r w:rsidRPr="00BC19E2">
              <w:t>Updated:</w:t>
            </w:r>
          </w:p>
          <w:p w:rsidR="00000000" w:rsidP="00BC19E2">
            <w:pPr>
              <w:pStyle w:val="BodyText"/>
              <w:rPr>
                <w:lang w:val="en-NZ"/>
              </w:rPr>
            </w:pPr>
            <w:r w:rsidRPr="00BC19E2">
              <w:t>Mapping details and minor corrections.</w:t>
            </w:r>
          </w:p>
        </w:tc>
      </w:tr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BodyText"/>
              <w:rPr>
                <w:lang w:val="en-NZ"/>
              </w:rPr>
            </w:pPr>
            <w:r w:rsidRPr="00BC19E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BodyText"/>
            </w:pPr>
            <w:r w:rsidRPr="00BC19E2">
              <w:t>HLTDEN027 Take a clin</w:t>
            </w:r>
            <w:r w:rsidRPr="00BC19E2">
              <w:t>ical photograph supersedes and is not equivalent to HLTDEN014 Take a clinical photograph.</w:t>
            </w:r>
          </w:p>
        </w:tc>
      </w:tr>
    </w:tbl>
    <w:p w:rsidR="00000000" w:rsidRPr="00BC19E2" w:rsidP="00BC19E2">
      <w:pPr>
        <w:pStyle w:val="BodyText"/>
      </w:pPr>
    </w:p>
    <w:p w:rsidR="00000000" w:rsidRPr="00BC19E2" w:rsidP="00BC19E2">
      <w:pPr>
        <w:pStyle w:val="AllowPageBreak"/>
      </w:pPr>
    </w:p>
    <w:p w:rsidR="00000000" w:rsidRPr="00BC19E2" w:rsidP="00BC19E2">
      <w:pPr>
        <w:pStyle w:val="Heading1"/>
      </w:pPr>
      <w:bookmarkStart w:id="2" w:name="O_1201092"/>
      <w:bookmarkEnd w:id="2"/>
      <w:r w:rsidRPr="00BC19E2">
        <w:t>Application</w:t>
      </w:r>
    </w:p>
    <w:p w:rsidR="00000000" w:rsidRPr="00BC19E2" w:rsidP="00F155D1">
      <w:pPr>
        <w:pStyle w:val="BodyText"/>
      </w:pPr>
      <w:r w:rsidRPr="00BC19E2">
        <w:t>This unit of competency describes the performance outcomes, skills and knowledge required to take a clinical dental photograph under conditions that can be reproduced.</w:t>
      </w:r>
    </w:p>
    <w:p w:rsidR="00000000" w:rsidRPr="00BC19E2" w:rsidP="00F155D1">
      <w:pPr>
        <w:pStyle w:val="BodyText"/>
      </w:pPr>
      <w:r w:rsidRPr="00BC19E2">
        <w:t xml:space="preserve">This unit applies to dental assisting work under the instruction and supervision of the </w:t>
      </w:r>
      <w:r w:rsidRPr="00BC19E2">
        <w:t>dental practitioner.</w:t>
      </w:r>
    </w:p>
    <w:p w:rsidR="00000000" w:rsidRPr="00BC19E2" w:rsidP="00F155D1">
      <w:pPr>
        <w:pStyle w:val="BodyText"/>
      </w:pPr>
      <w:r w:rsidRPr="00BC19E2">
        <w:t>The skills in this unit must be applied in accordance with Commonwealth and State/Territory legislation, Australian standards and industry codes of practice.</w:t>
      </w:r>
    </w:p>
    <w:p w:rsidR="00000000" w:rsidRPr="00BC19E2" w:rsidP="00F155D1">
      <w:pPr>
        <w:pStyle w:val="BodyText"/>
      </w:pPr>
      <w:r w:rsidRPr="00BC19E2">
        <w:t>No occupational licensing, certification or specific legislative requirements</w:t>
      </w:r>
      <w:r w:rsidRPr="00BC19E2">
        <w:t xml:space="preserve"> apply to this unit at the time of publication.</w:t>
      </w:r>
    </w:p>
    <w:p w:rsidR="00000000" w:rsidRPr="00BC19E2" w:rsidP="00BC19E2">
      <w:pPr>
        <w:pStyle w:val="Heading1"/>
      </w:pPr>
      <w:bookmarkStart w:id="3" w:name="O_1201091"/>
      <w:bookmarkEnd w:id="3"/>
      <w:r w:rsidRPr="00BC19E2">
        <w:t>Pre-requisite Unit</w:t>
      </w:r>
    </w:p>
    <w:p w:rsidR="00000000" w:rsidRPr="00BC19E2" w:rsidP="00F155D1">
      <w:pPr>
        <w:pStyle w:val="BodyText"/>
      </w:pPr>
      <w:r w:rsidRPr="00BC19E2">
        <w:t xml:space="preserve">Nil </w:t>
      </w:r>
    </w:p>
    <w:p w:rsidR="00000000" w:rsidRPr="00BC19E2" w:rsidP="00BC19E2">
      <w:pPr>
        <w:pStyle w:val="Heading1"/>
      </w:pPr>
      <w:bookmarkStart w:id="4" w:name="O_1201090"/>
      <w:bookmarkEnd w:id="4"/>
      <w:r w:rsidRPr="00BC19E2">
        <w:t>Competency Field</w:t>
      </w:r>
    </w:p>
    <w:p w:rsidR="00000000" w:rsidRPr="00BC19E2" w:rsidP="00F155D1">
      <w:pPr>
        <w:pStyle w:val="BodyText"/>
      </w:pPr>
      <w:r w:rsidRPr="00BC19E2">
        <w:t>Dental Assisting</w:t>
      </w:r>
    </w:p>
    <w:p w:rsidR="00000000" w:rsidRPr="00BC19E2" w:rsidP="00BC19E2">
      <w:pPr>
        <w:pStyle w:val="Heading1"/>
      </w:pPr>
      <w:bookmarkStart w:id="5" w:name="O_1201089"/>
      <w:bookmarkEnd w:id="5"/>
      <w:r w:rsidRPr="00BC19E2">
        <w:t>Unit Sector</w:t>
      </w:r>
    </w:p>
    <w:p w:rsidR="00000000" w:rsidRPr="00BC19E2" w:rsidP="00F155D1">
      <w:pPr>
        <w:pStyle w:val="BodyText"/>
      </w:pPr>
      <w:r w:rsidRPr="00BC19E2">
        <w:t xml:space="preserve">Dental </w:t>
      </w:r>
    </w:p>
    <w:p w:rsidR="00000000" w:rsidRPr="00BC19E2" w:rsidP="00BC19E2">
      <w:pPr>
        <w:pStyle w:val="Heading1"/>
      </w:pPr>
      <w:bookmarkStart w:id="6" w:name="O_1201088"/>
      <w:bookmarkEnd w:id="6"/>
      <w:r w:rsidRPr="00BC19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BodyText"/>
            </w:pPr>
            <w:r w:rsidRPr="00BC19E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BodyText"/>
              <w:rPr>
                <w:lang w:val="en-NZ"/>
              </w:rPr>
            </w:pPr>
            <w:r w:rsidRPr="00BC19E2">
              <w:rPr>
                <w:rStyle w:val="SpecialBold"/>
              </w:rPr>
              <w:t>PERFORMANCE</w:t>
            </w:r>
            <w:r w:rsidRPr="00BC19E2">
              <w:t xml:space="preserve"> </w:t>
            </w:r>
            <w:r w:rsidRPr="00BC19E2">
              <w:rPr>
                <w:rStyle w:val="SpecialBold"/>
              </w:rPr>
              <w:t>CRITERIA</w:t>
            </w:r>
          </w:p>
        </w:tc>
      </w:tr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BodyText"/>
            </w:pPr>
            <w:r w:rsidRPr="00BC19E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BodyText"/>
              <w:rPr>
                <w:lang w:val="en-NZ"/>
              </w:rPr>
            </w:pPr>
            <w:r w:rsidRPr="00BC19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List"/>
              <w:rPr>
                <w:lang w:val="en-NZ"/>
              </w:rPr>
            </w:pPr>
            <w:r w:rsidRPr="00BC19E2">
              <w:t>1.  Prepare patient and interpret request for photography.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List"/>
            </w:pPr>
            <w:r w:rsidRPr="00BC19E2">
              <w:t>1.1. Interpret request and provide full details of the procedure to patient or carer.</w:t>
            </w:r>
          </w:p>
          <w:p w:rsidR="00000000" w:rsidRPr="00BC19E2" w:rsidP="00BC19E2">
            <w:pPr>
              <w:pStyle w:val="List"/>
            </w:pPr>
            <w:r w:rsidRPr="00BC19E2">
              <w:t>1.2. Obtain and document consent adhering to ethical and legal requirements.</w:t>
            </w:r>
          </w:p>
          <w:p w:rsidR="00000000" w:rsidRPr="00BC19E2" w:rsidP="00BC19E2">
            <w:pPr>
              <w:pStyle w:val="List"/>
            </w:pPr>
            <w:r w:rsidRPr="00BC19E2">
              <w:t xml:space="preserve">1.3. Prepare accessories for intraoral photography. </w:t>
            </w:r>
          </w:p>
          <w:p w:rsidR="00000000" w:rsidP="00BC19E2">
            <w:pPr>
              <w:pStyle w:val="List"/>
              <w:rPr>
                <w:lang w:val="en-NZ"/>
              </w:rPr>
            </w:pPr>
            <w:r w:rsidRPr="00BC19E2">
              <w:t>1.4. Prepare personal protective equipme</w:t>
            </w:r>
            <w:r w:rsidRPr="00BC19E2">
              <w:t>nt for members of the dental team.</w:t>
            </w:r>
          </w:p>
        </w:tc>
      </w:tr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List"/>
              <w:rPr>
                <w:lang w:val="en-NZ"/>
              </w:rPr>
            </w:pPr>
            <w:r w:rsidRPr="00BC19E2">
              <w:t>2.  Prepare to take the photograph.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List"/>
            </w:pPr>
            <w:r w:rsidRPr="00BC19E2">
              <w:t>2.1. Compose the image so that the most important aspects are in the centre of the photograph.</w:t>
            </w:r>
          </w:p>
          <w:p w:rsidR="00000000" w:rsidRPr="00BC19E2" w:rsidP="00BC19E2">
            <w:pPr>
              <w:pStyle w:val="List"/>
            </w:pPr>
            <w:r w:rsidRPr="00BC19E2">
              <w:t>2.2. Orientate the image so that subsequent photos are reproducible.</w:t>
            </w:r>
          </w:p>
          <w:p w:rsidR="00000000" w:rsidRPr="00BC19E2" w:rsidP="00BC19E2">
            <w:pPr>
              <w:pStyle w:val="List"/>
            </w:pPr>
            <w:r w:rsidRPr="00BC19E2">
              <w:t>2.3. Locate the imag</w:t>
            </w:r>
            <w:r w:rsidRPr="00BC19E2">
              <w:t>e source to be photographed appropriately in the depth of field so that the photograph is in complete focus.</w:t>
            </w:r>
          </w:p>
          <w:p w:rsidR="00000000" w:rsidP="00BC19E2">
            <w:pPr>
              <w:pStyle w:val="List"/>
              <w:rPr>
                <w:lang w:val="en-NZ"/>
              </w:rPr>
            </w:pPr>
            <w:r w:rsidRPr="00BC19E2">
              <w:t>2.4. Check the viewfinder to ensure there are no obstructions to the image.</w:t>
            </w:r>
          </w:p>
        </w:tc>
      </w:tr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List"/>
              <w:rPr>
                <w:lang w:val="en-NZ"/>
              </w:rPr>
            </w:pPr>
            <w:r w:rsidRPr="00BC19E2">
              <w:t>3.  Take required intraoral views using a standardised approach.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List"/>
            </w:pPr>
            <w:r w:rsidRPr="00BC19E2">
              <w:t>3.1. Position the patient so that conditions for photography are reproducible.</w:t>
            </w:r>
          </w:p>
          <w:p w:rsidR="00000000" w:rsidRPr="00BC19E2" w:rsidP="00BC19E2">
            <w:pPr>
              <w:pStyle w:val="List"/>
            </w:pPr>
            <w:r w:rsidRPr="00BC19E2">
              <w:t>3.2. Stand in a stable position for standard intraoral views that are reproducible for all photographs.</w:t>
            </w:r>
          </w:p>
          <w:p w:rsidR="00000000" w:rsidRPr="00BC19E2" w:rsidP="00BC19E2">
            <w:pPr>
              <w:pStyle w:val="List"/>
            </w:pPr>
            <w:r w:rsidRPr="00BC19E2">
              <w:t>3.3. Select the magnification ratio according to the desired frame and fo</w:t>
            </w:r>
            <w:r w:rsidRPr="00BC19E2">
              <w:t>cus.</w:t>
            </w:r>
          </w:p>
          <w:p w:rsidR="00000000" w:rsidRPr="00BC19E2" w:rsidP="00BC19E2">
            <w:pPr>
              <w:pStyle w:val="List"/>
            </w:pPr>
            <w:r w:rsidRPr="00BC19E2">
              <w:t>3.4. Provide instruction on suitable mirror or retractor placement.</w:t>
            </w:r>
          </w:p>
          <w:p w:rsidR="00000000" w:rsidRPr="00BC19E2" w:rsidP="00BC19E2">
            <w:pPr>
              <w:pStyle w:val="List"/>
            </w:pPr>
            <w:r w:rsidRPr="00BC19E2">
              <w:t>3.5. Frame the image and ensure positioning of retractors and mirrors is correct.</w:t>
            </w:r>
          </w:p>
          <w:p w:rsidR="00000000" w:rsidP="00BC19E2">
            <w:pPr>
              <w:pStyle w:val="List"/>
              <w:rPr>
                <w:lang w:val="en-NZ"/>
              </w:rPr>
            </w:pPr>
            <w:r w:rsidRPr="00BC19E2">
              <w:t>3.6. Use appropriate lighting so that the image is not overexposed.</w:t>
            </w:r>
          </w:p>
        </w:tc>
      </w:tr>
      <w:tr w:rsidTr="00BC1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9E2">
            <w:pPr>
              <w:pStyle w:val="List"/>
              <w:rPr>
                <w:lang w:val="en-NZ"/>
              </w:rPr>
            </w:pPr>
            <w:r w:rsidRPr="00BC19E2">
              <w:t xml:space="preserve">4.  Take a portrait and profile </w:t>
            </w:r>
            <w:r w:rsidRPr="00BC19E2">
              <w:t>photograph.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9E2" w:rsidP="00BC19E2">
            <w:pPr>
              <w:pStyle w:val="List"/>
            </w:pPr>
            <w:r w:rsidRPr="00BC19E2">
              <w:t>4.1. Explain the purpose of the photograph to the patient.</w:t>
            </w:r>
          </w:p>
          <w:p w:rsidR="00000000" w:rsidRPr="00BC19E2" w:rsidP="00BC19E2">
            <w:pPr>
              <w:pStyle w:val="List"/>
            </w:pPr>
            <w:r w:rsidRPr="00BC19E2">
              <w:t>4.2. Choose the background colour and texture so that a full assessment of the profile can be made.</w:t>
            </w:r>
          </w:p>
          <w:p w:rsidR="00000000" w:rsidRPr="00BC19E2" w:rsidP="00BC19E2">
            <w:pPr>
              <w:pStyle w:val="List"/>
            </w:pPr>
            <w:r w:rsidRPr="00BC19E2">
              <w:t xml:space="preserve">4.3. Follow guidelines to position the camera and the patient to ensure reproducible </w:t>
            </w:r>
            <w:r w:rsidRPr="00BC19E2">
              <w:t>results.</w:t>
            </w:r>
          </w:p>
          <w:p w:rsidR="00000000" w:rsidRPr="00BC19E2" w:rsidP="00BC19E2">
            <w:pPr>
              <w:pStyle w:val="List"/>
            </w:pPr>
            <w:r w:rsidRPr="00BC19E2">
              <w:t>4.4. Use a vertical format to completely fill the frame.</w:t>
            </w:r>
          </w:p>
          <w:p w:rsidR="00000000" w:rsidRPr="00BC19E2" w:rsidP="00BC19E2">
            <w:pPr>
              <w:pStyle w:val="List"/>
            </w:pPr>
            <w:r w:rsidRPr="00BC19E2">
              <w:t>4.5. Take standard dental portrait views that ensure images can be reproduced.</w:t>
            </w:r>
          </w:p>
          <w:p w:rsidR="00000000" w:rsidRPr="00BC19E2" w:rsidP="00BC19E2">
            <w:pPr>
              <w:pStyle w:val="List"/>
            </w:pPr>
            <w:r w:rsidRPr="00BC19E2">
              <w:t>4.6. Critique photograph to confirm correctly captured.</w:t>
            </w:r>
          </w:p>
          <w:p w:rsidR="00000000" w:rsidRPr="00BC19E2" w:rsidP="00BC19E2">
            <w:pPr>
              <w:pStyle w:val="List"/>
            </w:pPr>
            <w:r w:rsidRPr="00BC19E2">
              <w:t>4.7. Upload photograph and store in patient files.</w:t>
            </w:r>
          </w:p>
        </w:tc>
      </w:tr>
    </w:tbl>
    <w:p w:rsidR="00000000" w:rsidRPr="00BC19E2" w:rsidP="00BC19E2">
      <w:pPr>
        <w:pStyle w:val="BodyText"/>
      </w:pPr>
    </w:p>
    <w:p w:rsidR="00000000" w:rsidRPr="00BC19E2" w:rsidP="00BC19E2">
      <w:pPr>
        <w:pStyle w:val="AllowPageBreak"/>
      </w:pPr>
    </w:p>
    <w:p w:rsidR="00000000" w:rsidRPr="00BC19E2" w:rsidP="00BC19E2">
      <w:pPr>
        <w:pStyle w:val="Heading1"/>
      </w:pPr>
      <w:bookmarkStart w:id="7" w:name="O_1201087"/>
      <w:bookmarkEnd w:id="7"/>
      <w:r w:rsidRPr="00BC19E2">
        <w:t>Foundation Skills</w:t>
      </w:r>
    </w:p>
    <w:p w:rsidR="00000000" w:rsidRPr="00BC19E2" w:rsidP="00F155D1">
      <w:pPr>
        <w:pStyle w:val="BodyText"/>
      </w:pPr>
      <w:r w:rsidRPr="00BC19E2">
        <w:t>Foundation skills essential to performance are explicit in the performance criteria of this unit of competency.</w:t>
      </w:r>
    </w:p>
    <w:p w:rsidR="00000000" w:rsidRPr="00BC19E2" w:rsidP="00BC19E2">
      <w:pPr>
        <w:pStyle w:val="Heading1"/>
      </w:pPr>
      <w:bookmarkStart w:id="8" w:name="O_1201086"/>
      <w:bookmarkEnd w:id="8"/>
      <w:r w:rsidRPr="00BC19E2">
        <w:t>Unit Mapping Information</w:t>
      </w:r>
    </w:p>
    <w:p w:rsidR="00000000" w:rsidRPr="00BC19E2" w:rsidP="00F155D1">
      <w:pPr>
        <w:pStyle w:val="BodyText"/>
      </w:pPr>
      <w:r w:rsidRPr="00BC19E2">
        <w:t>HLTDEN027 Take a clinical photograph supersedes and is not equiv</w:t>
      </w:r>
      <w:r w:rsidRPr="00BC19E2">
        <w:t>alent to HLTDEN014 Take a clinical photograph.</w:t>
      </w:r>
    </w:p>
    <w:p w:rsidR="00000000" w:rsidRPr="00BC19E2" w:rsidP="00BC19E2">
      <w:pPr>
        <w:pStyle w:val="Heading1"/>
      </w:pPr>
      <w:bookmarkStart w:id="9" w:name="O_1201094"/>
      <w:bookmarkEnd w:id="9"/>
      <w:r w:rsidRPr="00BC19E2">
        <w:t>Links</w:t>
      </w:r>
    </w:p>
    <w:p w:rsidR="00000000" w:rsidRPr="00BC19E2" w:rsidP="00F155D1">
      <w:pPr>
        <w:pStyle w:val="BodyText"/>
      </w:pPr>
      <w:r w:rsidRPr="00BC19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74F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C19E2" w:rsidP="00BC19E2"/>
    <w:sectPr w:rsidSect="00BC19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E2" w:rsidRPr="00F155D1" w:rsidP="00F15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D1" w:rsidP="00BC1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5D1" w:rsidP="00BC1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55D1" w:rsidP="00BC1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9E2" w:rsidRPr="00F155D1" w:rsidP="00F15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D1" w:rsidRPr="002D2AF8" w:rsidP="00BC1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HLTDEN027 Take a clinical photograph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155D1" w:rsidP="00BC1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9E2"/>
  </w:style>
  <w:style w:type="character" w:customStyle="1" w:styleId="Heading1Char">
    <w:name w:val="Heading 1 Char"/>
    <w:basedOn w:val="DefaultParagraphFont"/>
    <w:link w:val="Heading1"/>
    <w:rsid w:val="00BC1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9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9E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C19E2"/>
    <w:rPr>
      <w:b/>
      <w:spacing w:val="0"/>
    </w:rPr>
  </w:style>
  <w:style w:type="character" w:styleId="Emphasis">
    <w:name w:val="Emphasis"/>
    <w:basedOn w:val="DefaultParagraphFont"/>
    <w:qFormat/>
    <w:rsid w:val="00BC19E2"/>
    <w:rPr>
      <w:i/>
    </w:rPr>
  </w:style>
  <w:style w:type="paragraph" w:customStyle="1" w:styleId="SuperHeading">
    <w:name w:val="SuperHeading"/>
    <w:basedOn w:val="Normal"/>
    <w:rsid w:val="00BC1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9E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19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1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9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9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9E2"/>
  </w:style>
  <w:style w:type="paragraph" w:styleId="TableofFigures">
    <w:name w:val="table of figures"/>
    <w:basedOn w:val="Normal"/>
    <w:next w:val="Normal"/>
    <w:semiHidden/>
    <w:rsid w:val="00BC1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9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19E2"/>
    <w:rPr>
      <w:rFonts w:ascii="Wingdings" w:hAnsi="Wingdings"/>
    </w:rPr>
  </w:style>
  <w:style w:type="paragraph" w:customStyle="1" w:styleId="TableHeading">
    <w:name w:val="Table Heading"/>
    <w:basedOn w:val="HeadingBase"/>
    <w:rsid w:val="00BC1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9E2"/>
    <w:rPr>
      <w:color w:val="0033CC"/>
      <w:u w:val="none"/>
    </w:rPr>
  </w:style>
  <w:style w:type="paragraph" w:customStyle="1" w:styleId="BodyTextRight">
    <w:name w:val="Body Text Right"/>
    <w:basedOn w:val="BodyText"/>
    <w:rsid w:val="00BC1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9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9E2"/>
    <w:rPr>
      <w:sz w:val="32"/>
    </w:rPr>
  </w:style>
  <w:style w:type="paragraph" w:customStyle="1" w:styleId="HeadingProcedure">
    <w:name w:val="Heading Procedure"/>
    <w:basedOn w:val="HeadingBase"/>
    <w:next w:val="Normal"/>
    <w:rsid w:val="00BC1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9E2"/>
    <w:pPr>
      <w:spacing w:before="60" w:after="60"/>
    </w:pPr>
  </w:style>
  <w:style w:type="paragraph" w:styleId="ListContinue">
    <w:name w:val="List Continue"/>
    <w:basedOn w:val="List"/>
    <w:rsid w:val="00BC19E2"/>
    <w:pPr>
      <w:ind w:firstLine="0"/>
    </w:pPr>
  </w:style>
  <w:style w:type="paragraph" w:customStyle="1" w:styleId="ListNote">
    <w:name w:val="List Note"/>
    <w:basedOn w:val="List"/>
    <w:rsid w:val="00BC1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9E2"/>
    <w:rPr>
      <w:rFonts w:ascii="Courier New" w:hAnsi="Courier New"/>
    </w:rPr>
  </w:style>
  <w:style w:type="paragraph" w:customStyle="1" w:styleId="NoteBullet">
    <w:name w:val="Note Bullet"/>
    <w:basedOn w:val="Note"/>
    <w:rsid w:val="00BC1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9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1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9E2"/>
    <w:rPr>
      <w:b/>
      <w:smallCaps/>
    </w:rPr>
  </w:style>
  <w:style w:type="paragraph" w:customStyle="1" w:styleId="TableListNumber">
    <w:name w:val="Table List Number"/>
    <w:basedOn w:val="ListNumber"/>
    <w:rsid w:val="00BC1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9E2"/>
    <w:pPr>
      <w:numPr>
        <w:numId w:val="7"/>
      </w:numPr>
    </w:pPr>
  </w:style>
  <w:style w:type="paragraph" w:customStyle="1" w:styleId="ListAlpha2">
    <w:name w:val="List Alpha 2"/>
    <w:basedOn w:val="List2"/>
    <w:rsid w:val="00BC19E2"/>
    <w:pPr>
      <w:numPr>
        <w:numId w:val="6"/>
      </w:numPr>
    </w:pPr>
  </w:style>
  <w:style w:type="paragraph" w:styleId="List2">
    <w:name w:val="List 2"/>
    <w:basedOn w:val="BodyText"/>
    <w:rsid w:val="00BC1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9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9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19E2"/>
    <w:pPr>
      <w:numPr>
        <w:numId w:val="2"/>
      </w:numPr>
    </w:pPr>
  </w:style>
  <w:style w:type="paragraph" w:styleId="ListContinue2">
    <w:name w:val="List Continue 2"/>
    <w:basedOn w:val="List2"/>
    <w:rsid w:val="00BC19E2"/>
    <w:pPr>
      <w:ind w:firstLine="0"/>
    </w:pPr>
  </w:style>
  <w:style w:type="paragraph" w:styleId="ListContinue3">
    <w:name w:val="List Continue 3"/>
    <w:basedOn w:val="List3"/>
    <w:rsid w:val="00BC19E2"/>
    <w:pPr>
      <w:ind w:left="1021" w:firstLine="0"/>
    </w:pPr>
  </w:style>
  <w:style w:type="paragraph" w:styleId="ListContinue4">
    <w:name w:val="List Continue 4"/>
    <w:basedOn w:val="List4"/>
    <w:rsid w:val="00BC19E2"/>
    <w:pPr>
      <w:ind w:firstLine="0"/>
    </w:pPr>
  </w:style>
  <w:style w:type="paragraph" w:styleId="ListContinue5">
    <w:name w:val="List Continue 5"/>
    <w:basedOn w:val="List5"/>
    <w:rsid w:val="00BC19E2"/>
    <w:pPr>
      <w:ind w:firstLine="0"/>
    </w:pPr>
  </w:style>
  <w:style w:type="paragraph" w:styleId="ListNumber3">
    <w:name w:val="List Number 3"/>
    <w:basedOn w:val="List3"/>
    <w:rsid w:val="00BC19E2"/>
    <w:pPr>
      <w:numPr>
        <w:numId w:val="3"/>
      </w:numPr>
    </w:pPr>
  </w:style>
  <w:style w:type="paragraph" w:styleId="ListNumber4">
    <w:name w:val="List Number 4"/>
    <w:basedOn w:val="List4"/>
    <w:rsid w:val="00BC19E2"/>
    <w:pPr>
      <w:numPr>
        <w:numId w:val="4"/>
      </w:numPr>
    </w:pPr>
  </w:style>
  <w:style w:type="paragraph" w:styleId="ListNumber5">
    <w:name w:val="List Number 5"/>
    <w:basedOn w:val="List5"/>
    <w:rsid w:val="00BC19E2"/>
    <w:pPr>
      <w:numPr>
        <w:numId w:val="5"/>
      </w:numPr>
    </w:pPr>
  </w:style>
  <w:style w:type="paragraph" w:styleId="BlockText">
    <w:name w:val="Block Text"/>
    <w:basedOn w:val="Normal"/>
    <w:rsid w:val="00BC1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9E2"/>
    <w:rPr>
      <w:sz w:val="16"/>
      <w:vertAlign w:val="superscript"/>
    </w:rPr>
  </w:style>
  <w:style w:type="character" w:customStyle="1" w:styleId="Symbols">
    <w:name w:val="Symbols"/>
    <w:basedOn w:val="DefaultParagraphFont"/>
    <w:rsid w:val="00BC19E2"/>
    <w:rPr>
      <w:rFonts w:ascii="Symbol" w:hAnsi="Symbol"/>
    </w:rPr>
  </w:style>
  <w:style w:type="character" w:customStyle="1" w:styleId="MenuOptions">
    <w:name w:val="Menu Options"/>
    <w:basedOn w:val="DefaultParagraphFont"/>
    <w:rsid w:val="00BC1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9E2"/>
    <w:rPr>
      <w:b/>
    </w:rPr>
  </w:style>
  <w:style w:type="character" w:customStyle="1" w:styleId="Underlined">
    <w:name w:val="Underlined"/>
    <w:basedOn w:val="DefaultParagraphFont"/>
    <w:rsid w:val="00BC19E2"/>
    <w:rPr>
      <w:u w:val="single"/>
    </w:rPr>
  </w:style>
  <w:style w:type="paragraph" w:customStyle="1" w:styleId="TableBodyTextRight">
    <w:name w:val="Table Body Text Right"/>
    <w:basedOn w:val="TableBodyText"/>
    <w:rsid w:val="00BC1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9E2"/>
    <w:rPr>
      <w:sz w:val="18"/>
    </w:rPr>
  </w:style>
  <w:style w:type="paragraph" w:customStyle="1" w:styleId="BodySmallRight">
    <w:name w:val="Body Small Right"/>
    <w:basedOn w:val="BodyTextRight"/>
    <w:rsid w:val="00BC19E2"/>
    <w:rPr>
      <w:sz w:val="18"/>
      <w:szCs w:val="18"/>
    </w:rPr>
  </w:style>
  <w:style w:type="paragraph" w:customStyle="1" w:styleId="MarginEdition">
    <w:name w:val="Margin Edition"/>
    <w:basedOn w:val="MarginNote"/>
    <w:rsid w:val="00BC1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9E2"/>
    <w:rPr>
      <w:sz w:val="2"/>
      <w:szCs w:val="2"/>
    </w:rPr>
  </w:style>
  <w:style w:type="character" w:customStyle="1" w:styleId="Small">
    <w:name w:val="Small"/>
    <w:basedOn w:val="DefaultParagraphFont"/>
    <w:rsid w:val="00BC19E2"/>
    <w:rPr>
      <w:sz w:val="16"/>
    </w:rPr>
  </w:style>
  <w:style w:type="paragraph" w:customStyle="1" w:styleId="WideTable">
    <w:name w:val="Wide Table"/>
    <w:basedOn w:val="Normal"/>
    <w:rsid w:val="00BC1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9E2"/>
  </w:style>
  <w:style w:type="paragraph" w:styleId="Quote">
    <w:name w:val="Quote"/>
    <w:basedOn w:val="Heading1"/>
    <w:link w:val="QuoteChar"/>
    <w:qFormat/>
    <w:rsid w:val="00BC1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9E2"/>
    <w:pPr>
      <w:pageBreakBefore/>
    </w:pPr>
  </w:style>
  <w:style w:type="paragraph" w:customStyle="1" w:styleId="Border">
    <w:name w:val="Border"/>
    <w:basedOn w:val="Normal"/>
    <w:qFormat/>
    <w:rsid w:val="00BC1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9E2"/>
    <w:rPr>
      <w:u w:val="single"/>
    </w:rPr>
  </w:style>
  <w:style w:type="character" w:customStyle="1" w:styleId="BoldandItalics">
    <w:name w:val="Bold and Italics"/>
    <w:qFormat/>
    <w:rsid w:val="00BC19E2"/>
    <w:rPr>
      <w:b/>
      <w:i/>
      <w:u w:val="none"/>
    </w:rPr>
  </w:style>
  <w:style w:type="paragraph" w:styleId="BalloonText">
    <w:name w:val="Balloon Text"/>
    <w:basedOn w:val="Normal"/>
    <w:link w:val="BalloonTextChar"/>
    <w:rsid w:val="00BC1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9E2"/>
    <w:pPr>
      <w:spacing w:before="0" w:after="0"/>
    </w:pPr>
  </w:style>
  <w:style w:type="paragraph" w:customStyle="1" w:styleId="BodyTextBold">
    <w:name w:val="Body Text Bold"/>
    <w:basedOn w:val="BodyText"/>
    <w:qFormat/>
    <w:rsid w:val="00BC19E2"/>
    <w:rPr>
      <w:b/>
    </w:rPr>
  </w:style>
  <w:style w:type="character" w:styleId="Hyperlink">
    <w:name w:val="Hyperlink"/>
    <w:basedOn w:val="DefaultParagraphFont"/>
    <w:uiPriority w:val="99"/>
    <w:unhideWhenUsed/>
    <w:rsid w:val="00F15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3185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HLTDEN027 Take a clinical photograph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