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553" w:rsidP="00202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HLTDEN027 Take a clinical photograph</w:t>
      </w:r>
      <w:r>
        <w:fldChar w:fldCharType="end"/>
      </w:r>
    </w:p>
    <w:p w:rsidR="00202553" w:rsidP="00202553">
      <w:pPr>
        <w:pStyle w:val="Version"/>
        <w:sectPr w:rsidSect="00932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2989" w:rsidP="00932989">
      <w:pPr>
        <w:pStyle w:val="SuperHeading"/>
      </w:pPr>
      <w:r w:rsidRPr="00932989">
        <w:t>Assessment Requirements for HLTDEN027 Take a clinical photograph</w:t>
      </w:r>
    </w:p>
    <w:p w:rsidR="00000000" w:rsidRPr="00932989" w:rsidP="00932989">
      <w:pPr>
        <w:pStyle w:val="Heading1"/>
      </w:pPr>
      <w:bookmarkStart w:id="1" w:name="O_1201084"/>
      <w:bookmarkEnd w:id="1"/>
      <w:r w:rsidRPr="00932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93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2989" w:rsidP="00932989">
            <w:pPr>
              <w:pStyle w:val="BodyText"/>
            </w:pPr>
            <w:r w:rsidRPr="0093298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2989">
            <w:pPr>
              <w:pStyle w:val="BodyText"/>
              <w:rPr>
                <w:lang w:val="en-NZ"/>
              </w:rPr>
            </w:pPr>
            <w:r w:rsidRPr="00932989">
              <w:rPr>
                <w:rStyle w:val="SpecialBold"/>
              </w:rPr>
              <w:t>Comments</w:t>
            </w:r>
          </w:p>
        </w:tc>
      </w:tr>
      <w:tr w:rsidTr="0093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989">
            <w:pPr>
              <w:pStyle w:val="BodyText"/>
              <w:rPr>
                <w:lang w:val="en-NZ"/>
              </w:rPr>
            </w:pPr>
            <w:r w:rsidRPr="0093298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989" w:rsidP="00932989">
            <w:pPr>
              <w:pStyle w:val="BodyText"/>
            </w:pPr>
            <w:r w:rsidRPr="00932989">
              <w:t>Release 2 HLTDEN027 Take a clinical photograph supersedes and is equivalent to Release 1 HLTDEN027 Take a clinical photograph.</w:t>
            </w:r>
          </w:p>
          <w:p w:rsidR="00000000" w:rsidRPr="00932989" w:rsidP="00932989">
            <w:pPr>
              <w:pStyle w:val="BodyText"/>
            </w:pPr>
            <w:r w:rsidRPr="00932989">
              <w:t>Updated:</w:t>
            </w:r>
          </w:p>
          <w:p w:rsidR="00000000" w:rsidP="00932989">
            <w:pPr>
              <w:pStyle w:val="BodyText"/>
              <w:rPr>
                <w:lang w:val="en-NZ"/>
              </w:rPr>
            </w:pPr>
            <w:r w:rsidRPr="00932989">
              <w:t>Mapping details and minor corrections.</w:t>
            </w:r>
          </w:p>
        </w:tc>
      </w:tr>
      <w:tr w:rsidTr="0093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989">
            <w:pPr>
              <w:pStyle w:val="BodyText"/>
              <w:rPr>
                <w:lang w:val="en-NZ"/>
              </w:rPr>
            </w:pPr>
            <w:r w:rsidRPr="0093298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989" w:rsidP="00932989">
            <w:pPr>
              <w:pStyle w:val="BodyText"/>
            </w:pPr>
            <w:r w:rsidRPr="00932989">
              <w:t xml:space="preserve">HLTDEN027 Take a clinical photograph supersedes and is not equivalent </w:t>
            </w:r>
            <w:r w:rsidRPr="00932989">
              <w:t>to HLTDEN014 Take a clinical photograph.</w:t>
            </w:r>
          </w:p>
        </w:tc>
      </w:tr>
    </w:tbl>
    <w:p w:rsidR="00000000" w:rsidRPr="00932989" w:rsidP="00932989">
      <w:pPr>
        <w:pStyle w:val="BodyText"/>
      </w:pPr>
    </w:p>
    <w:p w:rsidR="00000000" w:rsidRPr="00932989" w:rsidP="00932989">
      <w:pPr>
        <w:pStyle w:val="AllowPageBreak"/>
      </w:pPr>
    </w:p>
    <w:p w:rsidR="00000000" w:rsidRPr="00932989" w:rsidP="00932989">
      <w:pPr>
        <w:pStyle w:val="Heading1"/>
      </w:pPr>
      <w:bookmarkStart w:id="2" w:name="O_1201083"/>
      <w:bookmarkEnd w:id="2"/>
      <w:r w:rsidRPr="00932989">
        <w:t>Performance Evidence</w:t>
      </w:r>
    </w:p>
    <w:p w:rsidR="00000000" w:rsidRPr="00932989" w:rsidP="00202553">
      <w:pPr>
        <w:pStyle w:val="BodyText"/>
      </w:pPr>
      <w:r w:rsidRPr="00932989">
        <w:t>Evidence of the ability to complete tasks outlined in elements and performance criteria of this unit in the context of the job role, and:</w:t>
      </w:r>
    </w:p>
    <w:p w:rsidR="00000000" w:rsidRPr="00932989" w:rsidP="00932989">
      <w:pPr>
        <w:pStyle w:val="ListBullet"/>
      </w:pPr>
      <w:r w:rsidRPr="00932989">
        <w:t>take and critique 50 clinical dental de-identified photographs, including intraoral and extraoral de-identified images</w:t>
      </w:r>
    </w:p>
    <w:p w:rsidR="00000000" w:rsidRPr="00932989" w:rsidP="00932989">
      <w:pPr>
        <w:pStyle w:val="ListBullet"/>
      </w:pPr>
      <w:r w:rsidRPr="00932989">
        <w:t>store the resulting image data.</w:t>
      </w:r>
    </w:p>
    <w:p w:rsidR="00000000" w:rsidRPr="00932989" w:rsidP="00932989">
      <w:pPr>
        <w:pStyle w:val="AllowPageBreak"/>
      </w:pPr>
    </w:p>
    <w:p w:rsidR="00000000" w:rsidRPr="00932989" w:rsidP="00932989">
      <w:pPr>
        <w:pStyle w:val="Heading1"/>
      </w:pPr>
      <w:bookmarkStart w:id="3" w:name="O_1201082"/>
      <w:bookmarkEnd w:id="3"/>
      <w:r w:rsidRPr="00932989">
        <w:t>Knowledge Evidence</w:t>
      </w:r>
    </w:p>
    <w:p w:rsidR="00000000" w:rsidRPr="00932989" w:rsidP="00202553">
      <w:pPr>
        <w:pStyle w:val="BodyText"/>
      </w:pPr>
      <w:r w:rsidRPr="00932989">
        <w:t>Demonstrated knowledge required to complete the tasks outlined in e</w:t>
      </w:r>
      <w:r w:rsidRPr="00932989">
        <w:t>lements and performance criteria of this unit:</w:t>
      </w:r>
    </w:p>
    <w:p w:rsidR="00000000" w:rsidRPr="00932989" w:rsidP="00932989">
      <w:pPr>
        <w:pStyle w:val="ListBullet"/>
      </w:pPr>
      <w:r w:rsidRPr="00932989">
        <w:t>national and State or Territory legal and ethical requirements and considerations for dental assisting work including:</w:t>
      </w:r>
    </w:p>
    <w:p w:rsidR="00000000" w:rsidRPr="00932989" w:rsidP="00932989">
      <w:pPr>
        <w:pStyle w:val="ListBullet2"/>
      </w:pPr>
      <w:r w:rsidRPr="00932989">
        <w:t>codes of practice</w:t>
      </w:r>
    </w:p>
    <w:p w:rsidR="00000000" w:rsidRPr="00932989" w:rsidP="00932989">
      <w:pPr>
        <w:pStyle w:val="ListBullet2"/>
      </w:pPr>
      <w:r w:rsidRPr="00932989">
        <w:t>discrimination</w:t>
      </w:r>
    </w:p>
    <w:p w:rsidR="00000000" w:rsidRPr="00932989" w:rsidP="00932989">
      <w:pPr>
        <w:pStyle w:val="ListBullet2"/>
      </w:pPr>
      <w:r w:rsidRPr="00932989">
        <w:t>duty of care</w:t>
      </w:r>
    </w:p>
    <w:p w:rsidR="00000000" w:rsidRPr="00932989" w:rsidP="00932989">
      <w:pPr>
        <w:pStyle w:val="ListBullet2"/>
      </w:pPr>
      <w:r w:rsidRPr="00932989">
        <w:t>informed consent and statutory requirement</w:t>
      </w:r>
      <w:r w:rsidRPr="00932989">
        <w:t>s of consent</w:t>
      </w:r>
    </w:p>
    <w:p w:rsidR="00000000" w:rsidRPr="00932989" w:rsidP="00932989">
      <w:pPr>
        <w:pStyle w:val="ListBullet2"/>
      </w:pPr>
      <w:r w:rsidRPr="00932989">
        <w:t>current Dental Board of Australia (DBA) and Australian Health Practitioner Regulation Agency (AHPRA) guidelines and practice standards</w:t>
      </w:r>
    </w:p>
    <w:p w:rsidR="00000000" w:rsidRPr="00932989" w:rsidP="00932989">
      <w:pPr>
        <w:pStyle w:val="ListBullet2"/>
      </w:pPr>
      <w:r w:rsidRPr="00932989">
        <w:t>current Dental Board of Australia (DBA) infection control and record keeping guidelines</w:t>
      </w:r>
    </w:p>
    <w:p w:rsidR="00000000" w:rsidRPr="00932989" w:rsidP="00932989">
      <w:pPr>
        <w:pStyle w:val="ListBullet2"/>
      </w:pPr>
      <w:r w:rsidRPr="00932989">
        <w:t>privacy, confidentiality and disclosure</w:t>
      </w:r>
    </w:p>
    <w:p w:rsidR="00000000" w:rsidRPr="00932989" w:rsidP="00932989">
      <w:pPr>
        <w:pStyle w:val="ListBullet2"/>
      </w:pPr>
      <w:r w:rsidRPr="00932989">
        <w:t>records management</w:t>
      </w:r>
    </w:p>
    <w:p w:rsidR="00000000" w:rsidRPr="00932989" w:rsidP="00932989">
      <w:pPr>
        <w:pStyle w:val="ListBullet2"/>
      </w:pPr>
      <w:r w:rsidRPr="00932989">
        <w:t>work role boundaries including responsibilities and limitations</w:t>
      </w:r>
    </w:p>
    <w:p w:rsidR="00000000" w:rsidRPr="00932989" w:rsidP="00932989">
      <w:pPr>
        <w:pStyle w:val="ListBullet2"/>
      </w:pPr>
      <w:r w:rsidRPr="00932989">
        <w:t xml:space="preserve">work health and safety </w:t>
      </w:r>
    </w:p>
    <w:p w:rsidR="00000000" w:rsidRPr="00932989" w:rsidP="00932989">
      <w:pPr>
        <w:pStyle w:val="ListBullet"/>
      </w:pPr>
      <w:r w:rsidRPr="00932989">
        <w:t>fundamental oral anatomy:</w:t>
      </w:r>
    </w:p>
    <w:p w:rsidR="00000000" w:rsidRPr="00932989" w:rsidP="00932989">
      <w:pPr>
        <w:pStyle w:val="ListBullet2"/>
      </w:pPr>
      <w:r w:rsidRPr="00932989">
        <w:t xml:space="preserve">dentition, arrangement of the teeth, naming and coding of teeth </w:t>
      </w:r>
    </w:p>
    <w:p w:rsidR="00000000" w:rsidRPr="00932989" w:rsidP="00932989">
      <w:pPr>
        <w:pStyle w:val="ListBullet2"/>
      </w:pPr>
      <w:r w:rsidRPr="00932989">
        <w:t>structures of th</w:t>
      </w:r>
      <w:r w:rsidRPr="00932989">
        <w:t>e oral cavity, hard and soft palate, lateral and posterior borders of the oral cavity, tongue and floor of the mouth</w:t>
      </w:r>
    </w:p>
    <w:p w:rsidR="00000000" w:rsidRPr="00932989" w:rsidP="00932989">
      <w:pPr>
        <w:pStyle w:val="ListBullet2"/>
      </w:pPr>
      <w:r w:rsidRPr="00932989">
        <w:t>teeth, form and function</w:t>
      </w:r>
    </w:p>
    <w:p w:rsidR="00000000" w:rsidRPr="00932989" w:rsidP="00932989">
      <w:pPr>
        <w:pStyle w:val="ListBullet"/>
      </w:pPr>
      <w:r w:rsidRPr="00932989">
        <w:t>fundamentals of photography, including:</w:t>
      </w:r>
    </w:p>
    <w:p w:rsidR="00000000" w:rsidRPr="00932989" w:rsidP="00932989">
      <w:pPr>
        <w:pStyle w:val="ListBullet2"/>
      </w:pPr>
      <w:r w:rsidRPr="00932989">
        <w:t>basic knowledge of camera systems appropriate for dental photography</w:t>
      </w:r>
    </w:p>
    <w:p w:rsidR="00000000" w:rsidRPr="00932989" w:rsidP="00932989">
      <w:pPr>
        <w:pStyle w:val="ListBullet2"/>
      </w:pPr>
      <w:r w:rsidRPr="00932989">
        <w:t>abi</w:t>
      </w:r>
      <w:r w:rsidRPr="00932989">
        <w:t>lity to reproduce photographic conditions</w:t>
      </w:r>
    </w:p>
    <w:p w:rsidR="00000000" w:rsidRPr="00932989" w:rsidP="00932989">
      <w:pPr>
        <w:pStyle w:val="ListBullet2"/>
      </w:pPr>
      <w:r w:rsidRPr="00932989">
        <w:t>appropriate reproduction ratio</w:t>
      </w:r>
    </w:p>
    <w:p w:rsidR="00000000" w:rsidRPr="00932989" w:rsidP="00932989">
      <w:pPr>
        <w:pStyle w:val="ListBullet2"/>
      </w:pPr>
      <w:r w:rsidRPr="00932989">
        <w:t>reduction of image contents either through an appropriate scale or through selective focusing</w:t>
      </w:r>
    </w:p>
    <w:p w:rsidR="00000000" w:rsidRPr="00932989" w:rsidP="00932989">
      <w:pPr>
        <w:pStyle w:val="ListBullet"/>
      </w:pPr>
      <w:r w:rsidRPr="00932989">
        <w:t>rationale and objectives for taking clinical photographs under conditions that can be re</w:t>
      </w:r>
      <w:r w:rsidRPr="00932989">
        <w:t>produced including the need for:</w:t>
      </w:r>
    </w:p>
    <w:p w:rsidR="00000000" w:rsidRPr="00932989" w:rsidP="00932989">
      <w:pPr>
        <w:pStyle w:val="ListBullet2"/>
      </w:pPr>
      <w:r w:rsidRPr="00932989">
        <w:t>basic views to record a patient’s clinical condition during the initial patient visit</w:t>
      </w:r>
    </w:p>
    <w:p w:rsidR="00000000" w:rsidRPr="00932989" w:rsidP="00932989">
      <w:pPr>
        <w:pStyle w:val="ListBullet2"/>
      </w:pPr>
      <w:r w:rsidRPr="00932989">
        <w:t>communication of information to the patient, and between practitioners, doctors and laboratories</w:t>
      </w:r>
    </w:p>
    <w:p w:rsidR="00000000" w:rsidRPr="00932989" w:rsidP="00932989">
      <w:pPr>
        <w:pStyle w:val="ListBullet2"/>
      </w:pPr>
      <w:r w:rsidRPr="00932989">
        <w:t>documentation of processes and stages of treatment</w:t>
      </w:r>
    </w:p>
    <w:p w:rsidR="00000000" w:rsidRPr="00932989" w:rsidP="00932989">
      <w:pPr>
        <w:pStyle w:val="ListBullet2"/>
      </w:pPr>
      <w:r w:rsidRPr="00932989">
        <w:t>documentation of the state and changes to the teeth and mucous membranes of the mouth</w:t>
      </w:r>
    </w:p>
    <w:p w:rsidR="00000000" w:rsidRPr="00932989" w:rsidP="00932989">
      <w:pPr>
        <w:pStyle w:val="ListBullet2"/>
      </w:pPr>
      <w:r w:rsidRPr="00932989">
        <w:t>illustration for teaching and research</w:t>
      </w:r>
    </w:p>
    <w:p w:rsidR="00000000" w:rsidRPr="00932989" w:rsidP="00932989">
      <w:pPr>
        <w:pStyle w:val="ListBullet2"/>
      </w:pPr>
      <w:r w:rsidRPr="00932989">
        <w:t>quality control of treatment outcomes.</w:t>
      </w:r>
    </w:p>
    <w:p w:rsidR="00000000" w:rsidRPr="00932989" w:rsidP="00932989">
      <w:pPr>
        <w:pStyle w:val="AllowPageBreak"/>
      </w:pPr>
    </w:p>
    <w:p w:rsidR="00000000" w:rsidRPr="00932989" w:rsidP="00932989">
      <w:pPr>
        <w:pStyle w:val="Heading1"/>
      </w:pPr>
      <w:bookmarkStart w:id="4" w:name="O_1201081"/>
      <w:bookmarkEnd w:id="4"/>
      <w:r w:rsidRPr="00932989">
        <w:t>Assessment Conditions</w:t>
      </w:r>
    </w:p>
    <w:p w:rsidR="00000000" w:rsidRPr="00932989" w:rsidP="00202553">
      <w:pPr>
        <w:pStyle w:val="BodyText"/>
      </w:pPr>
      <w:r w:rsidRPr="00932989">
        <w:t xml:space="preserve">Skills must be demonstrated in a dental clinic workplace with the addition of simulations and scenarios where the full range of contexts and situations cannot be provided in the workplace.  </w:t>
      </w:r>
    </w:p>
    <w:p w:rsidR="00000000" w:rsidRPr="00932989" w:rsidP="00202553">
      <w:pPr>
        <w:pStyle w:val="BodyText"/>
      </w:pPr>
      <w:r w:rsidRPr="00932989">
        <w:t xml:space="preserve">Assessment must ensure: </w:t>
      </w:r>
    </w:p>
    <w:p w:rsidR="00000000" w:rsidRPr="00932989" w:rsidP="00932989">
      <w:pPr>
        <w:pStyle w:val="ListBullet"/>
      </w:pPr>
      <w:r w:rsidRPr="00932989">
        <w:t>access to suitable facilities, equipmen</w:t>
      </w:r>
      <w:r w:rsidRPr="00932989">
        <w:t>t and resources including:</w:t>
      </w:r>
    </w:p>
    <w:p w:rsidR="00000000" w:rsidRPr="00932989" w:rsidP="00932989">
      <w:pPr>
        <w:pStyle w:val="ListBullet2"/>
      </w:pPr>
      <w:r w:rsidRPr="00932989">
        <w:t>digital camera and accessories</w:t>
      </w:r>
    </w:p>
    <w:p w:rsidR="00000000" w:rsidRPr="00932989" w:rsidP="00932989">
      <w:pPr>
        <w:pStyle w:val="ListBullet2"/>
      </w:pPr>
      <w:r w:rsidRPr="00932989">
        <w:t>access to de-identified patient records and data systems to record procedure and store images</w:t>
      </w:r>
    </w:p>
    <w:p w:rsidR="00000000" w:rsidRPr="00932989" w:rsidP="00932989">
      <w:pPr>
        <w:pStyle w:val="ListBullet2"/>
      </w:pPr>
      <w:r w:rsidRPr="00932989">
        <w:t>current Dental Board of Australia (DBA) and Australian Health Practitioner Regulation Agency (AHPRA) gu</w:t>
      </w:r>
      <w:r w:rsidRPr="00932989">
        <w:t>idelines and practice standards</w:t>
      </w:r>
    </w:p>
    <w:p w:rsidR="00000000" w:rsidRPr="00932989" w:rsidP="00932989">
      <w:pPr>
        <w:pStyle w:val="ListBullet2"/>
      </w:pPr>
      <w:r w:rsidRPr="00932989">
        <w:t>current Dental Board of Australia (DBA) infection control and record keeping guidelines</w:t>
      </w:r>
    </w:p>
    <w:p w:rsidR="00000000" w:rsidRPr="00932989" w:rsidP="00932989">
      <w:pPr>
        <w:pStyle w:val="ListBullet"/>
      </w:pPr>
      <w:r w:rsidRPr="00932989">
        <w:t>modelling of industry operating conditions including access to people for simulations and scenarios in dental assisting work</w:t>
      </w:r>
    </w:p>
    <w:p w:rsidR="00000000" w:rsidRPr="00932989" w:rsidP="00202553">
      <w:pPr>
        <w:pStyle w:val="BodyText"/>
      </w:pPr>
      <w:r w:rsidRPr="00932989">
        <w:t>Assessors must satisfy the Standards for Registered Training Organisations’ requirements for assessors and hold a minimum of five years clinical dental experience.</w:t>
      </w:r>
    </w:p>
    <w:p w:rsidR="00000000" w:rsidRPr="00932989" w:rsidP="00932989">
      <w:pPr>
        <w:pStyle w:val="Heading1"/>
      </w:pPr>
      <w:bookmarkStart w:id="5" w:name="O_1201095"/>
      <w:bookmarkEnd w:id="5"/>
      <w:r w:rsidRPr="00932989">
        <w:t>Links</w:t>
      </w:r>
    </w:p>
    <w:p w:rsidR="00000000" w:rsidRPr="00932989" w:rsidP="00202553">
      <w:pPr>
        <w:pStyle w:val="BodyText"/>
      </w:pPr>
      <w:r w:rsidRPr="00932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3267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32989" w:rsidP="00932989"/>
    <w:sectPr w:rsidSect="009329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89" w:rsidRPr="00202553" w:rsidP="00202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3" w:rsidP="00932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553" w:rsidP="00932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2553" w:rsidP="00932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989" w:rsidRPr="00202553" w:rsidP="002025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3" w:rsidRPr="002D2AF8" w:rsidP="00932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HLTDEN027 Take a clinical photograph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02553" w:rsidP="00932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501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F2D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4652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989"/>
  </w:style>
  <w:style w:type="character" w:customStyle="1" w:styleId="Heading1Char">
    <w:name w:val="Heading 1 Char"/>
    <w:basedOn w:val="DefaultParagraphFont"/>
    <w:link w:val="Heading1"/>
    <w:rsid w:val="00932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9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989"/>
    <w:rPr>
      <w:b/>
      <w:spacing w:val="0"/>
    </w:rPr>
  </w:style>
  <w:style w:type="paragraph" w:styleId="ListBullet2">
    <w:name w:val="List Bullet 2"/>
    <w:basedOn w:val="List2"/>
    <w:rsid w:val="009329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2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9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989"/>
    <w:rPr>
      <w:i/>
    </w:rPr>
  </w:style>
  <w:style w:type="paragraph" w:styleId="Caption">
    <w:name w:val="caption"/>
    <w:basedOn w:val="BodyText"/>
    <w:next w:val="Normal"/>
    <w:qFormat/>
    <w:rsid w:val="00932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989"/>
  </w:style>
  <w:style w:type="paragraph" w:styleId="TableofFigures">
    <w:name w:val="table of figures"/>
    <w:basedOn w:val="Normal"/>
    <w:next w:val="Normal"/>
    <w:semiHidden/>
    <w:rsid w:val="00932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9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2989"/>
    <w:rPr>
      <w:rFonts w:ascii="Wingdings" w:hAnsi="Wingdings"/>
    </w:rPr>
  </w:style>
  <w:style w:type="paragraph" w:customStyle="1" w:styleId="TableHeading">
    <w:name w:val="Table Heading"/>
    <w:basedOn w:val="HeadingBase"/>
    <w:rsid w:val="00932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989"/>
    <w:rPr>
      <w:color w:val="0033CC"/>
      <w:u w:val="none"/>
    </w:rPr>
  </w:style>
  <w:style w:type="paragraph" w:customStyle="1" w:styleId="BodyTextRight">
    <w:name w:val="Body Text Right"/>
    <w:basedOn w:val="BodyText"/>
    <w:rsid w:val="00932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9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989"/>
    <w:rPr>
      <w:sz w:val="32"/>
    </w:rPr>
  </w:style>
  <w:style w:type="paragraph" w:customStyle="1" w:styleId="HeadingProcedure">
    <w:name w:val="Heading Procedure"/>
    <w:basedOn w:val="HeadingBase"/>
    <w:next w:val="Normal"/>
    <w:rsid w:val="00932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989"/>
    <w:pPr>
      <w:spacing w:before="60" w:after="60"/>
    </w:pPr>
  </w:style>
  <w:style w:type="paragraph" w:styleId="ListContinue">
    <w:name w:val="List Continue"/>
    <w:basedOn w:val="List"/>
    <w:rsid w:val="00932989"/>
    <w:pPr>
      <w:ind w:firstLine="0"/>
    </w:pPr>
  </w:style>
  <w:style w:type="paragraph" w:customStyle="1" w:styleId="ListNote">
    <w:name w:val="List Note"/>
    <w:basedOn w:val="List"/>
    <w:rsid w:val="00932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989"/>
    <w:rPr>
      <w:rFonts w:ascii="Courier New" w:hAnsi="Courier New"/>
    </w:rPr>
  </w:style>
  <w:style w:type="paragraph" w:customStyle="1" w:styleId="NoteBullet">
    <w:name w:val="Note Bullet"/>
    <w:basedOn w:val="Note"/>
    <w:rsid w:val="00932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9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2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989"/>
    <w:rPr>
      <w:b/>
      <w:smallCaps/>
    </w:rPr>
  </w:style>
  <w:style w:type="paragraph" w:customStyle="1" w:styleId="TableListNumber">
    <w:name w:val="Table List Number"/>
    <w:basedOn w:val="ListNumber"/>
    <w:rsid w:val="00932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989"/>
    <w:pPr>
      <w:numPr>
        <w:numId w:val="9"/>
      </w:numPr>
    </w:pPr>
  </w:style>
  <w:style w:type="paragraph" w:customStyle="1" w:styleId="ListAlpha2">
    <w:name w:val="List Alpha 2"/>
    <w:basedOn w:val="List2"/>
    <w:rsid w:val="00932989"/>
    <w:pPr>
      <w:numPr>
        <w:numId w:val="8"/>
      </w:numPr>
    </w:pPr>
  </w:style>
  <w:style w:type="paragraph" w:styleId="List2">
    <w:name w:val="List 2"/>
    <w:basedOn w:val="BodyText"/>
    <w:rsid w:val="00932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9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9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2989"/>
    <w:pPr>
      <w:numPr>
        <w:numId w:val="4"/>
      </w:numPr>
    </w:pPr>
  </w:style>
  <w:style w:type="paragraph" w:styleId="ListContinue2">
    <w:name w:val="List Continue 2"/>
    <w:basedOn w:val="List2"/>
    <w:rsid w:val="00932989"/>
    <w:pPr>
      <w:ind w:firstLine="0"/>
    </w:pPr>
  </w:style>
  <w:style w:type="paragraph" w:styleId="ListContinue3">
    <w:name w:val="List Continue 3"/>
    <w:basedOn w:val="List3"/>
    <w:rsid w:val="00932989"/>
    <w:pPr>
      <w:ind w:left="1021" w:firstLine="0"/>
    </w:pPr>
  </w:style>
  <w:style w:type="paragraph" w:styleId="ListContinue4">
    <w:name w:val="List Continue 4"/>
    <w:basedOn w:val="List4"/>
    <w:rsid w:val="00932989"/>
    <w:pPr>
      <w:ind w:firstLine="0"/>
    </w:pPr>
  </w:style>
  <w:style w:type="paragraph" w:styleId="ListContinue5">
    <w:name w:val="List Continue 5"/>
    <w:basedOn w:val="List5"/>
    <w:rsid w:val="00932989"/>
    <w:pPr>
      <w:ind w:firstLine="0"/>
    </w:pPr>
  </w:style>
  <w:style w:type="paragraph" w:styleId="ListNumber3">
    <w:name w:val="List Number 3"/>
    <w:basedOn w:val="List3"/>
    <w:rsid w:val="00932989"/>
    <w:pPr>
      <w:numPr>
        <w:numId w:val="5"/>
      </w:numPr>
    </w:pPr>
  </w:style>
  <w:style w:type="paragraph" w:styleId="ListNumber4">
    <w:name w:val="List Number 4"/>
    <w:basedOn w:val="List4"/>
    <w:rsid w:val="00932989"/>
    <w:pPr>
      <w:numPr>
        <w:numId w:val="6"/>
      </w:numPr>
    </w:pPr>
  </w:style>
  <w:style w:type="paragraph" w:styleId="ListNumber5">
    <w:name w:val="List Number 5"/>
    <w:basedOn w:val="List5"/>
    <w:rsid w:val="00932989"/>
    <w:pPr>
      <w:numPr>
        <w:numId w:val="7"/>
      </w:numPr>
    </w:pPr>
  </w:style>
  <w:style w:type="paragraph" w:styleId="BlockText">
    <w:name w:val="Block Text"/>
    <w:basedOn w:val="Normal"/>
    <w:rsid w:val="00932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989"/>
    <w:rPr>
      <w:sz w:val="16"/>
      <w:vertAlign w:val="superscript"/>
    </w:rPr>
  </w:style>
  <w:style w:type="character" w:customStyle="1" w:styleId="Symbols">
    <w:name w:val="Symbols"/>
    <w:basedOn w:val="DefaultParagraphFont"/>
    <w:rsid w:val="00932989"/>
    <w:rPr>
      <w:rFonts w:ascii="Symbol" w:hAnsi="Symbol"/>
    </w:rPr>
  </w:style>
  <w:style w:type="character" w:customStyle="1" w:styleId="MenuOptions">
    <w:name w:val="Menu Options"/>
    <w:basedOn w:val="DefaultParagraphFont"/>
    <w:rsid w:val="00932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989"/>
    <w:rPr>
      <w:b/>
    </w:rPr>
  </w:style>
  <w:style w:type="character" w:customStyle="1" w:styleId="Underlined">
    <w:name w:val="Underlined"/>
    <w:basedOn w:val="DefaultParagraphFont"/>
    <w:rsid w:val="00932989"/>
    <w:rPr>
      <w:u w:val="single"/>
    </w:rPr>
  </w:style>
  <w:style w:type="paragraph" w:customStyle="1" w:styleId="TableBodyTextRight">
    <w:name w:val="Table Body Text Right"/>
    <w:basedOn w:val="TableBodyText"/>
    <w:rsid w:val="00932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989"/>
    <w:rPr>
      <w:sz w:val="18"/>
    </w:rPr>
  </w:style>
  <w:style w:type="paragraph" w:customStyle="1" w:styleId="BodySmallRight">
    <w:name w:val="Body Small Right"/>
    <w:basedOn w:val="BodyTextRight"/>
    <w:rsid w:val="00932989"/>
    <w:rPr>
      <w:sz w:val="18"/>
      <w:szCs w:val="18"/>
    </w:rPr>
  </w:style>
  <w:style w:type="paragraph" w:customStyle="1" w:styleId="MarginEdition">
    <w:name w:val="Margin Edition"/>
    <w:basedOn w:val="MarginNote"/>
    <w:rsid w:val="00932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989"/>
    <w:rPr>
      <w:sz w:val="2"/>
      <w:szCs w:val="2"/>
    </w:rPr>
  </w:style>
  <w:style w:type="character" w:customStyle="1" w:styleId="Small">
    <w:name w:val="Small"/>
    <w:basedOn w:val="DefaultParagraphFont"/>
    <w:rsid w:val="00932989"/>
    <w:rPr>
      <w:sz w:val="16"/>
    </w:rPr>
  </w:style>
  <w:style w:type="paragraph" w:customStyle="1" w:styleId="WideTable">
    <w:name w:val="Wide Table"/>
    <w:basedOn w:val="Normal"/>
    <w:rsid w:val="00932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989"/>
  </w:style>
  <w:style w:type="paragraph" w:styleId="Quote">
    <w:name w:val="Quote"/>
    <w:basedOn w:val="Heading1"/>
    <w:link w:val="QuoteChar"/>
    <w:qFormat/>
    <w:rsid w:val="00932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989"/>
    <w:pPr>
      <w:pageBreakBefore/>
    </w:pPr>
  </w:style>
  <w:style w:type="paragraph" w:customStyle="1" w:styleId="Border">
    <w:name w:val="Border"/>
    <w:basedOn w:val="Normal"/>
    <w:qFormat/>
    <w:rsid w:val="00932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989"/>
    <w:rPr>
      <w:u w:val="single"/>
    </w:rPr>
  </w:style>
  <w:style w:type="character" w:customStyle="1" w:styleId="BoldandItalics">
    <w:name w:val="Bold and Italics"/>
    <w:qFormat/>
    <w:rsid w:val="00932989"/>
    <w:rPr>
      <w:b/>
      <w:i/>
      <w:u w:val="none"/>
    </w:rPr>
  </w:style>
  <w:style w:type="paragraph" w:styleId="BalloonText">
    <w:name w:val="Balloon Text"/>
    <w:basedOn w:val="Normal"/>
    <w:link w:val="BalloonTextChar"/>
    <w:rsid w:val="00932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989"/>
    <w:pPr>
      <w:spacing w:before="0" w:after="0"/>
    </w:pPr>
  </w:style>
  <w:style w:type="paragraph" w:customStyle="1" w:styleId="BodyTextBold">
    <w:name w:val="Body Text Bold"/>
    <w:basedOn w:val="BodyText"/>
    <w:qFormat/>
    <w:rsid w:val="00932989"/>
    <w:rPr>
      <w:b/>
    </w:rPr>
  </w:style>
  <w:style w:type="character" w:styleId="Hyperlink">
    <w:name w:val="Hyperlink"/>
    <w:basedOn w:val="DefaultParagraphFont"/>
    <w:uiPriority w:val="99"/>
    <w:unhideWhenUsed/>
    <w:rsid w:val="002025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3322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HLTDEN027 Take a clinical photograph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