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F29" w:rsidP="00AA5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HLTDEN026 Take an impression for study models</w:t>
      </w:r>
      <w:r>
        <w:fldChar w:fldCharType="end"/>
      </w:r>
    </w:p>
    <w:p w:rsidR="00AA5F29" w:rsidP="00AA5F29">
      <w:pPr>
        <w:pStyle w:val="Version"/>
        <w:sectPr w:rsidSect="002B0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1F1" w:rsidP="002B01F1">
      <w:pPr>
        <w:pStyle w:val="SuperHeading"/>
      </w:pPr>
      <w:r w:rsidRPr="002B01F1">
        <w:t>Assessment Requirements for HLTDEN026 Take an impression for study models</w:t>
      </w:r>
    </w:p>
    <w:p w:rsidR="00000000" w:rsidRPr="002B01F1" w:rsidP="002B01F1">
      <w:pPr>
        <w:pStyle w:val="Heading1"/>
      </w:pPr>
      <w:bookmarkStart w:id="1" w:name="O_1201067"/>
      <w:bookmarkEnd w:id="1"/>
      <w:r w:rsidRPr="002B0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2B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01F1" w:rsidP="002B01F1">
            <w:pPr>
              <w:pStyle w:val="BodyText"/>
            </w:pPr>
            <w:r w:rsidRPr="002B01F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1F1">
            <w:pPr>
              <w:pStyle w:val="BodyText"/>
              <w:rPr>
                <w:lang w:val="en-NZ"/>
              </w:rPr>
            </w:pPr>
            <w:r w:rsidRPr="002B01F1">
              <w:rPr>
                <w:rStyle w:val="SpecialBold"/>
              </w:rPr>
              <w:t>Comments</w:t>
            </w:r>
          </w:p>
        </w:tc>
      </w:tr>
      <w:tr w:rsidTr="002B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F1">
            <w:pPr>
              <w:pStyle w:val="BodyText"/>
              <w:rPr>
                <w:lang w:val="en-NZ"/>
              </w:rPr>
            </w:pPr>
            <w:r w:rsidRPr="002B01F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F1" w:rsidP="002B01F1">
            <w:pPr>
              <w:pStyle w:val="BodyText"/>
            </w:pPr>
            <w:r w:rsidRPr="002B01F1">
              <w:t>Release 2 HLTDEN026 Take an impression for study models supersedes and is equivalent to Release 1 HLTDEN026 Take an impression for study models.</w:t>
            </w:r>
          </w:p>
          <w:p w:rsidR="00000000" w:rsidRPr="002B01F1" w:rsidP="002B01F1">
            <w:pPr>
              <w:pStyle w:val="BodyText"/>
            </w:pPr>
            <w:r w:rsidRPr="002B01F1">
              <w:t>Updated:</w:t>
            </w:r>
          </w:p>
          <w:p w:rsidR="00000000" w:rsidP="002B01F1">
            <w:pPr>
              <w:pStyle w:val="BodyText"/>
              <w:rPr>
                <w:lang w:val="en-NZ"/>
              </w:rPr>
            </w:pPr>
            <w:r w:rsidRPr="002B01F1">
              <w:t>Mapping details and minor corrections.</w:t>
            </w:r>
          </w:p>
        </w:tc>
      </w:tr>
      <w:tr w:rsidTr="002B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F1">
            <w:pPr>
              <w:pStyle w:val="BodyText"/>
              <w:rPr>
                <w:lang w:val="en-NZ"/>
              </w:rPr>
            </w:pPr>
            <w:r w:rsidRPr="002B01F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F1" w:rsidP="002B01F1">
            <w:pPr>
              <w:pStyle w:val="BodyText"/>
            </w:pPr>
            <w:r w:rsidRPr="002B01F1">
              <w:t>HLTDEN026 Take an impression for study models supers</w:t>
            </w:r>
            <w:r w:rsidRPr="002B01F1">
              <w:t>edes and is not equivalent to HLTDEN012 Take an impression for study models.</w:t>
            </w:r>
          </w:p>
        </w:tc>
      </w:tr>
    </w:tbl>
    <w:p w:rsidR="00000000" w:rsidRPr="002B01F1" w:rsidP="002B01F1">
      <w:pPr>
        <w:pStyle w:val="BodyText"/>
      </w:pPr>
    </w:p>
    <w:p w:rsidR="00000000" w:rsidRPr="002B01F1" w:rsidP="002B01F1">
      <w:pPr>
        <w:pStyle w:val="AllowPageBreak"/>
      </w:pPr>
    </w:p>
    <w:p w:rsidR="00000000" w:rsidRPr="002B01F1" w:rsidP="002B01F1">
      <w:pPr>
        <w:pStyle w:val="Heading1"/>
      </w:pPr>
      <w:bookmarkStart w:id="2" w:name="O_1201066"/>
      <w:bookmarkEnd w:id="2"/>
      <w:r w:rsidRPr="002B01F1">
        <w:t>Performance Evidence</w:t>
      </w:r>
    </w:p>
    <w:p w:rsidR="00000000" w:rsidRPr="002B01F1" w:rsidP="00AA5F29">
      <w:pPr>
        <w:pStyle w:val="BodyText"/>
      </w:pPr>
      <w:r w:rsidRPr="002B01F1">
        <w:t>Evidence of the ability to complete tasks outlined in elements and performance criteria of this unit in the context of the job role, and:</w:t>
      </w:r>
    </w:p>
    <w:p w:rsidR="00000000" w:rsidRPr="002B01F1" w:rsidP="002B01F1">
      <w:pPr>
        <w:pStyle w:val="ListBullet"/>
      </w:pPr>
      <w:r w:rsidRPr="002B01F1">
        <w:t>undertake ten impression procedures on a minimum of at least five different people for study models ensuring patient safety and meeting the clinical requirements.</w:t>
      </w:r>
    </w:p>
    <w:p w:rsidR="00000000" w:rsidRPr="002B01F1" w:rsidP="002B01F1">
      <w:pPr>
        <w:pStyle w:val="AllowPageBreak"/>
      </w:pPr>
    </w:p>
    <w:p w:rsidR="00000000" w:rsidRPr="002B01F1" w:rsidP="002B01F1">
      <w:pPr>
        <w:pStyle w:val="Heading1"/>
      </w:pPr>
      <w:bookmarkStart w:id="3" w:name="O_1201065"/>
      <w:bookmarkEnd w:id="3"/>
      <w:r w:rsidRPr="002B01F1">
        <w:t>Knowledge Evidence</w:t>
      </w:r>
    </w:p>
    <w:p w:rsidR="00000000" w:rsidRPr="002B01F1" w:rsidP="00AA5F29">
      <w:pPr>
        <w:pStyle w:val="BodyText"/>
      </w:pPr>
      <w:r w:rsidRPr="002B01F1">
        <w:t>Demonstrated knowledge required to complete the tasks</w:t>
      </w:r>
      <w:r w:rsidRPr="002B01F1">
        <w:t xml:space="preserve"> outlined in elements and performance criteria of this unit:</w:t>
      </w:r>
    </w:p>
    <w:p w:rsidR="00000000" w:rsidRPr="002B01F1" w:rsidP="002B01F1">
      <w:pPr>
        <w:pStyle w:val="ListBullet"/>
      </w:pPr>
      <w:r w:rsidRPr="002B01F1">
        <w:t>national and State or Territory legal and ethical requirements and considerations for dental assisting work including:</w:t>
      </w:r>
    </w:p>
    <w:p w:rsidR="00000000" w:rsidRPr="002B01F1" w:rsidP="002B01F1">
      <w:pPr>
        <w:pStyle w:val="ListBullet2"/>
      </w:pPr>
      <w:r w:rsidRPr="002B01F1">
        <w:t>codes of practice</w:t>
      </w:r>
    </w:p>
    <w:p w:rsidR="00000000" w:rsidRPr="002B01F1" w:rsidP="002B01F1">
      <w:pPr>
        <w:pStyle w:val="ListBullet2"/>
      </w:pPr>
      <w:r w:rsidRPr="002B01F1">
        <w:t>discrimination</w:t>
      </w:r>
    </w:p>
    <w:p w:rsidR="00000000" w:rsidRPr="002B01F1" w:rsidP="002B01F1">
      <w:pPr>
        <w:pStyle w:val="ListBullet2"/>
      </w:pPr>
      <w:r w:rsidRPr="002B01F1">
        <w:t>duty of care</w:t>
      </w:r>
    </w:p>
    <w:p w:rsidR="00000000" w:rsidRPr="002B01F1" w:rsidP="002B01F1">
      <w:pPr>
        <w:pStyle w:val="ListBullet2"/>
      </w:pPr>
      <w:r w:rsidRPr="002B01F1">
        <w:t>informed consent and statuto</w:t>
      </w:r>
      <w:r w:rsidRPr="002B01F1">
        <w:t>ry requirements of consent</w:t>
      </w:r>
    </w:p>
    <w:p w:rsidR="00000000" w:rsidRPr="002B01F1" w:rsidP="002B01F1">
      <w:pPr>
        <w:pStyle w:val="ListBullet2"/>
      </w:pPr>
      <w:r w:rsidRPr="002B01F1">
        <w:t xml:space="preserve">practice standards and dental guidelines </w:t>
      </w:r>
    </w:p>
    <w:p w:rsidR="00000000" w:rsidRPr="002B01F1" w:rsidP="002B01F1">
      <w:pPr>
        <w:pStyle w:val="ListBullet2"/>
      </w:pPr>
      <w:r w:rsidRPr="002B01F1">
        <w:t>privacy, confidentiality and disclosure</w:t>
      </w:r>
    </w:p>
    <w:p w:rsidR="00000000" w:rsidRPr="002B01F1" w:rsidP="002B01F1">
      <w:pPr>
        <w:pStyle w:val="ListBullet2"/>
      </w:pPr>
      <w:r w:rsidRPr="002B01F1">
        <w:t>infection control guidelines and procedures</w:t>
      </w:r>
    </w:p>
    <w:p w:rsidR="00000000" w:rsidRPr="002B01F1" w:rsidP="002B01F1">
      <w:pPr>
        <w:pStyle w:val="ListBullet2"/>
      </w:pPr>
      <w:r w:rsidRPr="002B01F1">
        <w:t>records management</w:t>
      </w:r>
    </w:p>
    <w:p w:rsidR="00000000" w:rsidRPr="002B01F1" w:rsidP="002B01F1">
      <w:pPr>
        <w:pStyle w:val="ListBullet2"/>
      </w:pPr>
      <w:r w:rsidRPr="002B01F1">
        <w:t>work role boundaries including responsibilities and limitations</w:t>
      </w:r>
    </w:p>
    <w:p w:rsidR="00000000" w:rsidRPr="002B01F1" w:rsidP="002B01F1">
      <w:pPr>
        <w:pStyle w:val="ListBullet2"/>
      </w:pPr>
      <w:r w:rsidRPr="002B01F1">
        <w:t>work health and safety</w:t>
      </w:r>
    </w:p>
    <w:p w:rsidR="00000000" w:rsidRPr="002B01F1" w:rsidP="002B01F1">
      <w:pPr>
        <w:pStyle w:val="ListBullet"/>
      </w:pPr>
      <w:r w:rsidRPr="002B01F1">
        <w:t>current Dental Board of Australia (DBA) and Australian Health Practitioner Regulation Agency (AHPRA) guidelines and practice standards.</w:t>
      </w:r>
    </w:p>
    <w:p w:rsidR="00000000" w:rsidRPr="002B01F1" w:rsidP="002B01F1">
      <w:pPr>
        <w:pStyle w:val="ListBullet"/>
      </w:pPr>
      <w:r w:rsidRPr="002B01F1">
        <w:t>fundamental oral anatomy:</w:t>
      </w:r>
    </w:p>
    <w:p w:rsidR="00000000" w:rsidRPr="002B01F1" w:rsidP="002B01F1">
      <w:pPr>
        <w:pStyle w:val="ListBullet2"/>
      </w:pPr>
      <w:r w:rsidRPr="002B01F1">
        <w:t xml:space="preserve">dentition, arrangement of the teeth, naming and coding of teeth </w:t>
      </w:r>
    </w:p>
    <w:p w:rsidR="00000000" w:rsidRPr="002B01F1" w:rsidP="002B01F1">
      <w:pPr>
        <w:pStyle w:val="ListBullet2"/>
      </w:pPr>
      <w:r w:rsidRPr="002B01F1">
        <w:t>stru</w:t>
      </w:r>
      <w:r w:rsidRPr="002B01F1">
        <w:t>ctures of the oral cavity, hard and soft palate, lateral and posterior borders of the oral cavity, tongue and floor of the mouth</w:t>
      </w:r>
    </w:p>
    <w:p w:rsidR="00000000" w:rsidRPr="002B01F1" w:rsidP="002B01F1">
      <w:pPr>
        <w:pStyle w:val="ListBullet2"/>
      </w:pPr>
      <w:r w:rsidRPr="002B01F1">
        <w:t>teeth form and function</w:t>
      </w:r>
    </w:p>
    <w:p w:rsidR="00000000" w:rsidRPr="002B01F1" w:rsidP="002B01F1">
      <w:pPr>
        <w:pStyle w:val="ListBullet"/>
      </w:pPr>
      <w:r w:rsidRPr="002B01F1">
        <w:t>principles and practices which underpin interpersonal communication</w:t>
      </w:r>
    </w:p>
    <w:p w:rsidR="00000000" w:rsidRPr="002B01F1" w:rsidP="002B01F1">
      <w:pPr>
        <w:pStyle w:val="ListBullet"/>
      </w:pPr>
      <w:r w:rsidRPr="002B01F1">
        <w:t>principles of quality assurance an</w:t>
      </w:r>
      <w:r w:rsidRPr="002B01F1">
        <w:t>d work effectiveness</w:t>
      </w:r>
    </w:p>
    <w:p w:rsidR="00000000" w:rsidRPr="002B01F1" w:rsidP="002B01F1">
      <w:pPr>
        <w:pStyle w:val="ListBullet"/>
      </w:pPr>
      <w:r w:rsidRPr="002B01F1">
        <w:t>rationale and objectives for the taking of impressions for study models</w:t>
      </w:r>
    </w:p>
    <w:p w:rsidR="00000000" w:rsidRPr="002B01F1" w:rsidP="002B01F1">
      <w:pPr>
        <w:pStyle w:val="ListBullet"/>
      </w:pPr>
      <w:r w:rsidRPr="002B01F1">
        <w:t>impression materials suitable for creating impressions for study models</w:t>
      </w:r>
    </w:p>
    <w:p w:rsidR="00000000" w:rsidRPr="002B01F1" w:rsidP="002B01F1">
      <w:pPr>
        <w:pStyle w:val="ListBullet"/>
      </w:pPr>
      <w:r w:rsidRPr="002B01F1">
        <w:t>appropriate mechanisms for managing a gag reflex</w:t>
      </w:r>
    </w:p>
    <w:p w:rsidR="00000000" w:rsidRPr="002B01F1" w:rsidP="002B01F1">
      <w:pPr>
        <w:pStyle w:val="ListBullet"/>
      </w:pPr>
      <w:r w:rsidRPr="002B01F1">
        <w:t>appropriate responses to patient’s reactio</w:t>
      </w:r>
      <w:r w:rsidRPr="002B01F1">
        <w:t>ns during impression taking procedure</w:t>
      </w:r>
    </w:p>
    <w:p w:rsidR="00000000" w:rsidRPr="002B01F1" w:rsidP="002B01F1">
      <w:pPr>
        <w:pStyle w:val="ListBullet"/>
      </w:pPr>
      <w:r w:rsidRPr="002B01F1">
        <w:t>organisational policies for documenting dental procedures.</w:t>
      </w:r>
    </w:p>
    <w:p w:rsidR="00000000" w:rsidRPr="002B01F1" w:rsidP="002B01F1">
      <w:pPr>
        <w:pStyle w:val="AllowPageBreak"/>
      </w:pPr>
    </w:p>
    <w:p w:rsidR="00000000" w:rsidRPr="002B01F1" w:rsidP="002B01F1">
      <w:pPr>
        <w:pStyle w:val="Heading1"/>
      </w:pPr>
      <w:bookmarkStart w:id="4" w:name="O_1201064"/>
      <w:bookmarkEnd w:id="4"/>
      <w:r w:rsidRPr="002B01F1">
        <w:t>Assessment Conditions</w:t>
      </w:r>
    </w:p>
    <w:p w:rsidR="00000000" w:rsidRPr="002B01F1" w:rsidP="00AA5F29">
      <w:pPr>
        <w:pStyle w:val="BodyText"/>
      </w:pPr>
      <w:r w:rsidRPr="002B01F1">
        <w:t xml:space="preserve">Skills must be demonstrated in a dental clinic workplace with the addition of simulations and </w:t>
      </w:r>
      <w:r w:rsidRPr="002B01F1">
        <w:t xml:space="preserve">scenarios where the full range of contexts and situations cannot be provided in the workplace. </w:t>
      </w:r>
    </w:p>
    <w:p w:rsidR="00000000" w:rsidRPr="002B01F1" w:rsidP="00AA5F29">
      <w:pPr>
        <w:pStyle w:val="BodyText"/>
      </w:pPr>
      <w:r w:rsidRPr="002B01F1">
        <w:t>Assessment must ensure:</w:t>
      </w:r>
    </w:p>
    <w:p w:rsidR="00000000" w:rsidRPr="002B01F1" w:rsidP="002B01F1">
      <w:pPr>
        <w:pStyle w:val="ListBullet"/>
      </w:pPr>
      <w:r w:rsidRPr="002B01F1">
        <w:t>access to suitable facilities, equipment and resources including:</w:t>
      </w:r>
    </w:p>
    <w:p w:rsidR="00000000" w:rsidRPr="002B01F1" w:rsidP="002B01F1">
      <w:pPr>
        <w:pStyle w:val="ListBullet2"/>
      </w:pPr>
      <w:r w:rsidRPr="002B01F1">
        <w:t>dental chair and unit</w:t>
      </w:r>
    </w:p>
    <w:p w:rsidR="00000000" w:rsidRPr="002B01F1" w:rsidP="002B01F1">
      <w:pPr>
        <w:pStyle w:val="ListBullet2"/>
      </w:pPr>
      <w:r w:rsidRPr="002B01F1">
        <w:t>impression material and equipment</w:t>
      </w:r>
    </w:p>
    <w:p w:rsidR="00000000" w:rsidRPr="002B01F1" w:rsidP="002B01F1">
      <w:pPr>
        <w:pStyle w:val="ListBullet2"/>
      </w:pPr>
      <w:r w:rsidRPr="002B01F1">
        <w:t>syringe suit</w:t>
      </w:r>
      <w:r w:rsidRPr="002B01F1">
        <w:t>able for saliva removal</w:t>
      </w:r>
    </w:p>
    <w:p w:rsidR="00000000" w:rsidRPr="002B01F1" w:rsidP="002B01F1">
      <w:pPr>
        <w:pStyle w:val="ListBullet2"/>
      </w:pPr>
      <w:r w:rsidRPr="002B01F1">
        <w:t>materials and mixing equipment</w:t>
      </w:r>
    </w:p>
    <w:p w:rsidR="00000000" w:rsidRPr="002B01F1" w:rsidP="002B01F1">
      <w:pPr>
        <w:pStyle w:val="ListBullet2"/>
      </w:pPr>
      <w:r w:rsidRPr="002B01F1">
        <w:t>practitioner, assistant and patient personal protective equipment</w:t>
      </w:r>
    </w:p>
    <w:p w:rsidR="00000000" w:rsidRPr="002B01F1" w:rsidP="002B01F1">
      <w:pPr>
        <w:pStyle w:val="ListBullet2"/>
      </w:pPr>
      <w:r w:rsidRPr="002B01F1">
        <w:t>waste disposal equipment</w:t>
      </w:r>
    </w:p>
    <w:p w:rsidR="00000000" w:rsidRPr="002B01F1" w:rsidP="002B01F1">
      <w:pPr>
        <w:pStyle w:val="ListBullet2"/>
      </w:pPr>
      <w:r w:rsidRPr="002B01F1">
        <w:t>current Dental Board of Australia (DBA) and Australian Health Practitioner Regulation Agency (AHPRA) guideline</w:t>
      </w:r>
      <w:r w:rsidRPr="002B01F1">
        <w:t>s and practice standards</w:t>
      </w:r>
    </w:p>
    <w:p w:rsidR="00000000" w:rsidRPr="002B01F1" w:rsidP="002B01F1">
      <w:pPr>
        <w:pStyle w:val="ListBullet"/>
      </w:pPr>
      <w:r w:rsidRPr="002B01F1">
        <w:t>modelling of industry operating conditions including access to people for simulations and scenarios in dental assisting work</w:t>
      </w:r>
    </w:p>
    <w:p w:rsidR="00000000" w:rsidRPr="002B01F1" w:rsidP="00AA5F29">
      <w:pPr>
        <w:pStyle w:val="BodyText"/>
      </w:pPr>
      <w:r w:rsidRPr="002B01F1">
        <w:t>Assessors must satisfy the Standards for Registered Training Organisations’</w:t>
      </w:r>
      <w:r w:rsidRPr="002B01F1">
        <w:t xml:space="preserve"> requirements for assessors and hold a minimum of five years clinical dental experience.</w:t>
      </w:r>
    </w:p>
    <w:p w:rsidR="00000000" w:rsidRPr="002B01F1" w:rsidP="002B01F1">
      <w:pPr>
        <w:pStyle w:val="Heading1"/>
      </w:pPr>
      <w:bookmarkStart w:id="5" w:name="O_1201078"/>
      <w:bookmarkEnd w:id="5"/>
      <w:r w:rsidRPr="002B01F1">
        <w:t>Links</w:t>
      </w:r>
    </w:p>
    <w:p w:rsidR="00000000" w:rsidRPr="002B01F1" w:rsidP="00AA5F29">
      <w:pPr>
        <w:pStyle w:val="BodyText"/>
      </w:pPr>
      <w:r w:rsidRPr="002B0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7F7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01F1" w:rsidP="002B01F1"/>
    <w:sectPr w:rsidSect="002B01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F1" w:rsidRPr="00AA5F29" w:rsidP="00AA5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F29" w:rsidP="002B0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F29" w:rsidP="002B0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5F29" w:rsidP="002B0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1F1" w:rsidRPr="00AA5F29" w:rsidP="00AA5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F29" w:rsidRPr="002D2AF8" w:rsidP="002B0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HLTDEN026 Take an impression for study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A5F29" w:rsidP="002B0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2D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E0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EA6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1F1"/>
  </w:style>
  <w:style w:type="character" w:customStyle="1" w:styleId="Heading1Char">
    <w:name w:val="Heading 1 Char"/>
    <w:basedOn w:val="DefaultParagraphFont"/>
    <w:link w:val="Heading1"/>
    <w:rsid w:val="002B0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1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1F1"/>
    <w:rPr>
      <w:b/>
      <w:spacing w:val="0"/>
    </w:rPr>
  </w:style>
  <w:style w:type="paragraph" w:styleId="ListBullet2">
    <w:name w:val="List Bullet 2"/>
    <w:basedOn w:val="List2"/>
    <w:rsid w:val="002B01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1F1"/>
    <w:rPr>
      <w:i/>
    </w:rPr>
  </w:style>
  <w:style w:type="paragraph" w:styleId="Caption">
    <w:name w:val="caption"/>
    <w:basedOn w:val="BodyText"/>
    <w:next w:val="Normal"/>
    <w:qFormat/>
    <w:rsid w:val="002B0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1F1"/>
  </w:style>
  <w:style w:type="paragraph" w:styleId="TableofFigures">
    <w:name w:val="table of figures"/>
    <w:basedOn w:val="Normal"/>
    <w:next w:val="Normal"/>
    <w:semiHidden/>
    <w:rsid w:val="002B0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1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1F1"/>
    <w:rPr>
      <w:rFonts w:ascii="Wingdings" w:hAnsi="Wingdings"/>
    </w:rPr>
  </w:style>
  <w:style w:type="paragraph" w:customStyle="1" w:styleId="TableHeading">
    <w:name w:val="Table Heading"/>
    <w:basedOn w:val="HeadingBase"/>
    <w:rsid w:val="002B0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1F1"/>
    <w:rPr>
      <w:color w:val="0033CC"/>
      <w:u w:val="none"/>
    </w:rPr>
  </w:style>
  <w:style w:type="paragraph" w:customStyle="1" w:styleId="BodyTextRight">
    <w:name w:val="Body Text Right"/>
    <w:basedOn w:val="BodyText"/>
    <w:rsid w:val="002B0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1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1F1"/>
    <w:rPr>
      <w:sz w:val="32"/>
    </w:rPr>
  </w:style>
  <w:style w:type="paragraph" w:customStyle="1" w:styleId="HeadingProcedure">
    <w:name w:val="Heading Procedure"/>
    <w:basedOn w:val="HeadingBase"/>
    <w:next w:val="Normal"/>
    <w:rsid w:val="002B0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1F1"/>
    <w:pPr>
      <w:spacing w:before="60" w:after="60"/>
    </w:pPr>
  </w:style>
  <w:style w:type="paragraph" w:styleId="ListContinue">
    <w:name w:val="List Continue"/>
    <w:basedOn w:val="List"/>
    <w:rsid w:val="002B01F1"/>
    <w:pPr>
      <w:ind w:firstLine="0"/>
    </w:pPr>
  </w:style>
  <w:style w:type="paragraph" w:customStyle="1" w:styleId="ListNote">
    <w:name w:val="List Note"/>
    <w:basedOn w:val="List"/>
    <w:rsid w:val="002B0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1F1"/>
    <w:rPr>
      <w:rFonts w:ascii="Courier New" w:hAnsi="Courier New"/>
    </w:rPr>
  </w:style>
  <w:style w:type="paragraph" w:customStyle="1" w:styleId="NoteBullet">
    <w:name w:val="Note Bullet"/>
    <w:basedOn w:val="Note"/>
    <w:rsid w:val="002B0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1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1F1"/>
    <w:rPr>
      <w:b/>
      <w:smallCaps/>
    </w:rPr>
  </w:style>
  <w:style w:type="paragraph" w:customStyle="1" w:styleId="TableListNumber">
    <w:name w:val="Table List Number"/>
    <w:basedOn w:val="ListNumber"/>
    <w:rsid w:val="002B0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1F1"/>
    <w:pPr>
      <w:numPr>
        <w:numId w:val="9"/>
      </w:numPr>
    </w:pPr>
  </w:style>
  <w:style w:type="paragraph" w:customStyle="1" w:styleId="ListAlpha2">
    <w:name w:val="List Alpha 2"/>
    <w:basedOn w:val="List2"/>
    <w:rsid w:val="002B01F1"/>
    <w:pPr>
      <w:numPr>
        <w:numId w:val="8"/>
      </w:numPr>
    </w:pPr>
  </w:style>
  <w:style w:type="paragraph" w:styleId="List2">
    <w:name w:val="List 2"/>
    <w:basedOn w:val="BodyText"/>
    <w:rsid w:val="002B0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1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1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1F1"/>
    <w:pPr>
      <w:numPr>
        <w:numId w:val="4"/>
      </w:numPr>
    </w:pPr>
  </w:style>
  <w:style w:type="paragraph" w:styleId="ListContinue2">
    <w:name w:val="List Continue 2"/>
    <w:basedOn w:val="List2"/>
    <w:rsid w:val="002B01F1"/>
    <w:pPr>
      <w:ind w:firstLine="0"/>
    </w:pPr>
  </w:style>
  <w:style w:type="paragraph" w:styleId="ListContinue3">
    <w:name w:val="List Continue 3"/>
    <w:basedOn w:val="List3"/>
    <w:rsid w:val="002B01F1"/>
    <w:pPr>
      <w:ind w:left="1021" w:firstLine="0"/>
    </w:pPr>
  </w:style>
  <w:style w:type="paragraph" w:styleId="ListContinue4">
    <w:name w:val="List Continue 4"/>
    <w:basedOn w:val="List4"/>
    <w:rsid w:val="002B01F1"/>
    <w:pPr>
      <w:ind w:firstLine="0"/>
    </w:pPr>
  </w:style>
  <w:style w:type="paragraph" w:styleId="ListContinue5">
    <w:name w:val="List Continue 5"/>
    <w:basedOn w:val="List5"/>
    <w:rsid w:val="002B01F1"/>
    <w:pPr>
      <w:ind w:firstLine="0"/>
    </w:pPr>
  </w:style>
  <w:style w:type="paragraph" w:styleId="ListNumber3">
    <w:name w:val="List Number 3"/>
    <w:basedOn w:val="List3"/>
    <w:rsid w:val="002B01F1"/>
    <w:pPr>
      <w:numPr>
        <w:numId w:val="5"/>
      </w:numPr>
    </w:pPr>
  </w:style>
  <w:style w:type="paragraph" w:styleId="ListNumber4">
    <w:name w:val="List Number 4"/>
    <w:basedOn w:val="List4"/>
    <w:rsid w:val="002B01F1"/>
    <w:pPr>
      <w:numPr>
        <w:numId w:val="6"/>
      </w:numPr>
    </w:pPr>
  </w:style>
  <w:style w:type="paragraph" w:styleId="ListNumber5">
    <w:name w:val="List Number 5"/>
    <w:basedOn w:val="List5"/>
    <w:rsid w:val="002B01F1"/>
    <w:pPr>
      <w:numPr>
        <w:numId w:val="7"/>
      </w:numPr>
    </w:pPr>
  </w:style>
  <w:style w:type="paragraph" w:styleId="BlockText">
    <w:name w:val="Block Text"/>
    <w:basedOn w:val="Normal"/>
    <w:rsid w:val="002B0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1F1"/>
    <w:rPr>
      <w:sz w:val="16"/>
      <w:vertAlign w:val="superscript"/>
    </w:rPr>
  </w:style>
  <w:style w:type="character" w:customStyle="1" w:styleId="Symbols">
    <w:name w:val="Symbols"/>
    <w:basedOn w:val="DefaultParagraphFont"/>
    <w:rsid w:val="002B01F1"/>
    <w:rPr>
      <w:rFonts w:ascii="Symbol" w:hAnsi="Symbol"/>
    </w:rPr>
  </w:style>
  <w:style w:type="character" w:customStyle="1" w:styleId="MenuOptions">
    <w:name w:val="Menu Options"/>
    <w:basedOn w:val="DefaultParagraphFont"/>
    <w:rsid w:val="002B0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1F1"/>
    <w:rPr>
      <w:b/>
    </w:rPr>
  </w:style>
  <w:style w:type="character" w:customStyle="1" w:styleId="Underlined">
    <w:name w:val="Underlined"/>
    <w:basedOn w:val="DefaultParagraphFont"/>
    <w:rsid w:val="002B01F1"/>
    <w:rPr>
      <w:u w:val="single"/>
    </w:rPr>
  </w:style>
  <w:style w:type="paragraph" w:customStyle="1" w:styleId="TableBodyTextRight">
    <w:name w:val="Table Body Text Right"/>
    <w:basedOn w:val="TableBodyText"/>
    <w:rsid w:val="002B0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1F1"/>
    <w:rPr>
      <w:sz w:val="18"/>
    </w:rPr>
  </w:style>
  <w:style w:type="paragraph" w:customStyle="1" w:styleId="BodySmallRight">
    <w:name w:val="Body Small Right"/>
    <w:basedOn w:val="BodyTextRight"/>
    <w:rsid w:val="002B01F1"/>
    <w:rPr>
      <w:sz w:val="18"/>
      <w:szCs w:val="18"/>
    </w:rPr>
  </w:style>
  <w:style w:type="paragraph" w:customStyle="1" w:styleId="MarginEdition">
    <w:name w:val="Margin Edition"/>
    <w:basedOn w:val="MarginNote"/>
    <w:rsid w:val="002B0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1F1"/>
    <w:rPr>
      <w:sz w:val="2"/>
      <w:szCs w:val="2"/>
    </w:rPr>
  </w:style>
  <w:style w:type="character" w:customStyle="1" w:styleId="Small">
    <w:name w:val="Small"/>
    <w:basedOn w:val="DefaultParagraphFont"/>
    <w:rsid w:val="002B01F1"/>
    <w:rPr>
      <w:sz w:val="16"/>
    </w:rPr>
  </w:style>
  <w:style w:type="paragraph" w:customStyle="1" w:styleId="WideTable">
    <w:name w:val="Wide Table"/>
    <w:basedOn w:val="Normal"/>
    <w:rsid w:val="002B0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1F1"/>
  </w:style>
  <w:style w:type="paragraph" w:styleId="Quote">
    <w:name w:val="Quote"/>
    <w:basedOn w:val="Heading1"/>
    <w:link w:val="QuoteChar"/>
    <w:qFormat/>
    <w:rsid w:val="002B0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1F1"/>
    <w:pPr>
      <w:pageBreakBefore/>
    </w:pPr>
  </w:style>
  <w:style w:type="paragraph" w:customStyle="1" w:styleId="Border">
    <w:name w:val="Border"/>
    <w:basedOn w:val="Normal"/>
    <w:qFormat/>
    <w:rsid w:val="002B0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1F1"/>
    <w:rPr>
      <w:u w:val="single"/>
    </w:rPr>
  </w:style>
  <w:style w:type="character" w:customStyle="1" w:styleId="BoldandItalics">
    <w:name w:val="Bold and Italics"/>
    <w:qFormat/>
    <w:rsid w:val="002B01F1"/>
    <w:rPr>
      <w:b/>
      <w:i/>
      <w:u w:val="none"/>
    </w:rPr>
  </w:style>
  <w:style w:type="paragraph" w:styleId="BalloonText">
    <w:name w:val="Balloon Text"/>
    <w:basedOn w:val="Normal"/>
    <w:link w:val="BalloonTextChar"/>
    <w:rsid w:val="002B0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1F1"/>
    <w:pPr>
      <w:spacing w:before="0" w:after="0"/>
    </w:pPr>
  </w:style>
  <w:style w:type="paragraph" w:customStyle="1" w:styleId="BodyTextBold">
    <w:name w:val="Body Text Bold"/>
    <w:basedOn w:val="BodyText"/>
    <w:qFormat/>
    <w:rsid w:val="002B01F1"/>
    <w:rPr>
      <w:b/>
    </w:rPr>
  </w:style>
  <w:style w:type="character" w:styleId="Hyperlink">
    <w:name w:val="Hyperlink"/>
    <w:basedOn w:val="DefaultParagraphFont"/>
    <w:uiPriority w:val="99"/>
    <w:unhideWhenUsed/>
    <w:rsid w:val="00AA5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3081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HLTDEN026 Take an impression for study models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